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9C08" w14:textId="77777777" w:rsidR="005F1BE9" w:rsidRPr="00E273BA" w:rsidRDefault="009506C9" w:rsidP="004014A1">
      <w:pPr>
        <w:spacing w:before="240" w:after="240"/>
        <w:jc w:val="center"/>
        <w:rPr>
          <w:rFonts w:ascii="Arial" w:eastAsia="Times New Roman" w:hAnsi="Arial" w:cs="Arial"/>
          <w:b/>
          <w:color w:val="000000"/>
          <w:sz w:val="28"/>
          <w:szCs w:val="28"/>
          <w:lang w:eastAsia="pt-BR"/>
        </w:rPr>
      </w:pPr>
      <w:r w:rsidRPr="00E273BA">
        <w:rPr>
          <w:rFonts w:ascii="Arial" w:eastAsia="Times New Roman" w:hAnsi="Arial" w:cs="Arial"/>
          <w:b/>
          <w:color w:val="000000"/>
          <w:sz w:val="28"/>
          <w:szCs w:val="28"/>
          <w:lang w:eastAsia="pt-BR"/>
        </w:rPr>
        <w:t>CONTROLE DAS URGÊNCIAS RENAIS</w:t>
      </w:r>
    </w:p>
    <w:p w14:paraId="4B6FC1E3" w14:textId="77777777" w:rsidR="00A63EA0" w:rsidRPr="00E273BA" w:rsidRDefault="00E273BA" w:rsidP="004014A1">
      <w:pPr>
        <w:spacing w:before="120" w:after="12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 w:rsidR="00A63EA0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</w:t>
      </w:r>
      <w:r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siderando a</w:t>
      </w:r>
      <w:r w:rsidR="00A63EA0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Portaria de Consolidação nº 4 de 28 de setembro de 2017, Anexo I, Capítulo VI, Seção I, Módulo de Rim (</w:t>
      </w:r>
      <w:proofErr w:type="spellStart"/>
      <w:r w:rsidR="00A63EA0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</w:t>
      </w:r>
      <w:proofErr w:type="spellEnd"/>
      <w:r w:rsidR="00A63EA0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58 ao </w:t>
      </w:r>
      <w:proofErr w:type="spellStart"/>
      <w:r w:rsidR="00A63EA0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</w:t>
      </w:r>
      <w:proofErr w:type="spellEnd"/>
      <w:r w:rsidR="00A63EA0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71)</w:t>
      </w:r>
      <w:r w:rsidR="0083322B" w:rsidRPr="00E273B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</w:t>
      </w:r>
    </w:p>
    <w:p w14:paraId="196DF949" w14:textId="77777777" w:rsidR="00C209C4" w:rsidRPr="0083322B" w:rsidRDefault="00C209C4" w:rsidP="004014A1">
      <w:pPr>
        <w:pStyle w:val="NormalWeb"/>
        <w:spacing w:before="120" w:beforeAutospacing="0" w:after="120" w:afterAutospacing="0" w:line="276" w:lineRule="auto"/>
        <w:ind w:firstLine="567"/>
        <w:jc w:val="both"/>
        <w:rPr>
          <w:rFonts w:ascii="Arial" w:hAnsi="Arial" w:cs="Arial"/>
          <w:color w:val="000000"/>
        </w:rPr>
      </w:pPr>
      <w:r w:rsidRPr="00E273BA">
        <w:rPr>
          <w:rStyle w:val="Forte"/>
          <w:rFonts w:ascii="Arial" w:hAnsi="Arial" w:cs="Arial"/>
          <w:i/>
          <w:color w:val="000000"/>
        </w:rPr>
        <w:t>Art. 70.</w:t>
      </w:r>
      <w:r w:rsidRPr="0083322B">
        <w:rPr>
          <w:rFonts w:ascii="Arial" w:hAnsi="Arial" w:cs="Arial"/>
          <w:color w:val="000000"/>
        </w:rPr>
        <w:t> É considerado critério de urgência a iminência de impossibilidade técnica total e permanente para obtenção de acesso para a realização de qualquer das modalidades de diálise. (Origem: PRT MS/GM 2600/2009, Art. 60)</w:t>
      </w:r>
    </w:p>
    <w:p w14:paraId="2B011480" w14:textId="77777777" w:rsidR="00C209C4" w:rsidRDefault="00C209C4" w:rsidP="004014A1">
      <w:pPr>
        <w:pStyle w:val="NormalWeb"/>
        <w:spacing w:before="120" w:beforeAutospacing="0" w:after="120" w:afterAutospacing="0" w:line="276" w:lineRule="auto"/>
        <w:ind w:firstLine="567"/>
        <w:jc w:val="both"/>
        <w:rPr>
          <w:rFonts w:ascii="Arial" w:hAnsi="Arial" w:cs="Arial"/>
          <w:color w:val="000000"/>
        </w:rPr>
      </w:pPr>
      <w:r w:rsidRPr="00E273BA">
        <w:rPr>
          <w:rStyle w:val="Forte"/>
          <w:rFonts w:ascii="Arial" w:hAnsi="Arial" w:cs="Arial"/>
          <w:i/>
          <w:color w:val="000000"/>
        </w:rPr>
        <w:t>Parágrafo Único.</w:t>
      </w:r>
      <w:r w:rsidRPr="0083322B">
        <w:rPr>
          <w:rStyle w:val="Forte"/>
          <w:rFonts w:ascii="Arial" w:hAnsi="Arial" w:cs="Arial"/>
          <w:color w:val="000000"/>
        </w:rPr>
        <w:t> </w:t>
      </w:r>
      <w:r w:rsidRPr="0083322B">
        <w:rPr>
          <w:rFonts w:ascii="Arial" w:hAnsi="Arial" w:cs="Arial"/>
          <w:color w:val="000000"/>
        </w:rPr>
        <w:t>A manutenção da urgência terá validade de 30 (trinta) dias. (Origem: PRT MS/GM 2600/2009, Art. 60, Parágrafo Único).</w:t>
      </w:r>
    </w:p>
    <w:p w14:paraId="637C4811" w14:textId="77777777" w:rsidR="0083322B" w:rsidRPr="00E273BA" w:rsidRDefault="0083322B" w:rsidP="004014A1">
      <w:pPr>
        <w:pStyle w:val="NormalWeb"/>
        <w:spacing w:before="240" w:beforeAutospacing="0" w:after="240" w:afterAutospacing="0" w:line="276" w:lineRule="auto"/>
        <w:jc w:val="center"/>
        <w:rPr>
          <w:rFonts w:ascii="Arial" w:hAnsi="Arial" w:cs="Arial"/>
          <w:b/>
          <w:color w:val="000000"/>
        </w:rPr>
      </w:pPr>
      <w:r w:rsidRPr="001B1C43">
        <w:rPr>
          <w:rFonts w:ascii="Arial" w:hAnsi="Arial" w:cs="Arial"/>
          <w:b/>
          <w:color w:val="000000"/>
          <w:spacing w:val="20"/>
        </w:rPr>
        <w:t>AVALIAÇÃO DA URGÊNCIA RENAL</w:t>
      </w:r>
      <w:r w:rsidRPr="00E273BA">
        <w:rPr>
          <w:rFonts w:ascii="Arial" w:hAnsi="Arial" w:cs="Arial"/>
          <w:b/>
          <w:color w:val="000000"/>
        </w:rPr>
        <w:t>.</w:t>
      </w:r>
    </w:p>
    <w:p w14:paraId="31E59EA6" w14:textId="77777777" w:rsidR="004B7085" w:rsidRPr="004B7085" w:rsidRDefault="0083322B" w:rsidP="004014A1">
      <w:pPr>
        <w:pStyle w:val="NormalWeb"/>
        <w:numPr>
          <w:ilvl w:val="1"/>
          <w:numId w:val="1"/>
        </w:numPr>
        <w:spacing w:before="120" w:beforeAutospacing="0" w:after="120" w:afterAutospacing="0" w:line="276" w:lineRule="auto"/>
        <w:ind w:left="851" w:hanging="284"/>
        <w:jc w:val="both"/>
        <w:rPr>
          <w:rFonts w:ascii="Arial" w:hAnsi="Arial" w:cs="Arial"/>
          <w:i/>
          <w:color w:val="000000"/>
        </w:rPr>
      </w:pPr>
      <w:r w:rsidRPr="004B7085">
        <w:rPr>
          <w:rFonts w:ascii="Arial" w:hAnsi="Arial" w:cs="Arial"/>
          <w:i/>
          <w:color w:val="000000"/>
        </w:rPr>
        <w:t xml:space="preserve">Tipos de urgência: </w:t>
      </w:r>
      <w:r w:rsidR="004B7085">
        <w:rPr>
          <w:rFonts w:ascii="Arial" w:hAnsi="Arial" w:cs="Arial"/>
          <w:i/>
          <w:color w:val="000000"/>
        </w:rPr>
        <w:t>a</w:t>
      </w:r>
      <w:r w:rsidR="004B7085" w:rsidRPr="004B7085">
        <w:rPr>
          <w:rFonts w:ascii="Arial" w:hAnsi="Arial" w:cs="Arial"/>
          <w:i/>
          <w:color w:val="000000"/>
        </w:rPr>
        <w:t xml:space="preserve">usência </w:t>
      </w:r>
      <w:r w:rsidR="004B7085" w:rsidRPr="00BE17E0">
        <w:rPr>
          <w:rFonts w:ascii="Arial" w:hAnsi="Arial" w:cs="Arial"/>
          <w:i/>
          <w:color w:val="000000"/>
        </w:rPr>
        <w:t>atual</w:t>
      </w:r>
      <w:r w:rsidR="004B7085" w:rsidRPr="004B7085">
        <w:rPr>
          <w:rFonts w:ascii="Arial" w:hAnsi="Arial" w:cs="Arial"/>
          <w:i/>
          <w:color w:val="000000"/>
        </w:rPr>
        <w:t xml:space="preserve"> ou iminente </w:t>
      </w:r>
      <w:r w:rsidR="00BE17E0">
        <w:rPr>
          <w:rFonts w:ascii="Arial" w:hAnsi="Arial" w:cs="Arial"/>
          <w:i/>
          <w:color w:val="000000"/>
        </w:rPr>
        <w:t xml:space="preserve">da possibilidade </w:t>
      </w:r>
      <w:r w:rsidR="004B7085" w:rsidRPr="004B7085">
        <w:rPr>
          <w:rFonts w:ascii="Arial" w:hAnsi="Arial" w:cs="Arial"/>
          <w:i/>
          <w:color w:val="000000"/>
        </w:rPr>
        <w:t xml:space="preserve">de </w:t>
      </w:r>
      <w:r w:rsidR="00BE17E0">
        <w:rPr>
          <w:rFonts w:ascii="Arial" w:hAnsi="Arial" w:cs="Arial"/>
          <w:i/>
          <w:color w:val="000000"/>
        </w:rPr>
        <w:t xml:space="preserve">todos os </w:t>
      </w:r>
      <w:r w:rsidR="004B7085" w:rsidRPr="004B7085">
        <w:rPr>
          <w:rFonts w:ascii="Arial" w:hAnsi="Arial" w:cs="Arial"/>
          <w:i/>
          <w:color w:val="000000"/>
        </w:rPr>
        <w:t>acesso</w:t>
      </w:r>
      <w:r w:rsidR="00BE17E0">
        <w:rPr>
          <w:rFonts w:ascii="Arial" w:hAnsi="Arial" w:cs="Arial"/>
          <w:i/>
          <w:color w:val="000000"/>
        </w:rPr>
        <w:t>s</w:t>
      </w:r>
      <w:r w:rsidR="004B7085" w:rsidRPr="004B7085">
        <w:rPr>
          <w:rFonts w:ascii="Arial" w:hAnsi="Arial" w:cs="Arial"/>
          <w:i/>
          <w:color w:val="000000"/>
        </w:rPr>
        <w:t xml:space="preserve"> para hemodiálise ou diálise peritonial</w:t>
      </w:r>
      <w:r w:rsidR="004B7085">
        <w:rPr>
          <w:rFonts w:ascii="Arial" w:hAnsi="Arial" w:cs="Arial"/>
          <w:i/>
          <w:color w:val="000000"/>
        </w:rPr>
        <w:t>, tais como:</w:t>
      </w:r>
    </w:p>
    <w:p w14:paraId="5104246A" w14:textId="77777777" w:rsidR="0083322B" w:rsidRDefault="004B7085" w:rsidP="004014A1">
      <w:pPr>
        <w:pStyle w:val="NormalWeb"/>
        <w:numPr>
          <w:ilvl w:val="2"/>
          <w:numId w:val="1"/>
        </w:numPr>
        <w:spacing w:before="120" w:beforeAutospacing="0" w:after="120" w:afterAutospacing="0" w:line="276" w:lineRule="auto"/>
        <w:ind w:left="1134" w:hanging="28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Impossibilidade de colocação</w:t>
      </w:r>
      <w:r w:rsidR="0083322B">
        <w:rPr>
          <w:rFonts w:ascii="Arial" w:hAnsi="Arial" w:cs="Arial"/>
          <w:color w:val="000000"/>
        </w:rPr>
        <w:t xml:space="preserve"> de cateteres provisórios, </w:t>
      </w:r>
      <w:proofErr w:type="spellStart"/>
      <w:r w:rsidR="0083322B">
        <w:rPr>
          <w:rFonts w:ascii="Arial" w:hAnsi="Arial" w:cs="Arial"/>
          <w:color w:val="000000"/>
        </w:rPr>
        <w:t>Schilley</w:t>
      </w:r>
      <w:proofErr w:type="spellEnd"/>
      <w:r w:rsidR="0083322B">
        <w:rPr>
          <w:rFonts w:ascii="Arial" w:hAnsi="Arial" w:cs="Arial"/>
          <w:color w:val="000000"/>
        </w:rPr>
        <w:t xml:space="preserve"> (menor duração) </w:t>
      </w:r>
      <w:r>
        <w:rPr>
          <w:rFonts w:ascii="Arial" w:hAnsi="Arial" w:cs="Arial"/>
          <w:color w:val="000000"/>
        </w:rPr>
        <w:t>ou permanente,</w:t>
      </w:r>
      <w:r w:rsidR="0083322B">
        <w:rPr>
          <w:rFonts w:ascii="Arial" w:hAnsi="Arial" w:cs="Arial"/>
          <w:color w:val="000000"/>
        </w:rPr>
        <w:t xml:space="preserve"> </w:t>
      </w:r>
      <w:proofErr w:type="spellStart"/>
      <w:r w:rsidR="0083322B">
        <w:rPr>
          <w:rFonts w:ascii="Arial" w:hAnsi="Arial" w:cs="Arial"/>
          <w:color w:val="000000"/>
        </w:rPr>
        <w:t>Per</w:t>
      </w:r>
      <w:r>
        <w:rPr>
          <w:rFonts w:ascii="Arial" w:hAnsi="Arial" w:cs="Arial"/>
          <w:color w:val="000000"/>
        </w:rPr>
        <w:t>m</w:t>
      </w:r>
      <w:r w:rsidR="0083322B">
        <w:rPr>
          <w:rFonts w:ascii="Arial" w:hAnsi="Arial" w:cs="Arial"/>
          <w:color w:val="000000"/>
        </w:rPr>
        <w:t>cat</w:t>
      </w:r>
      <w:proofErr w:type="spellEnd"/>
      <w:r w:rsidR="0083322B">
        <w:rPr>
          <w:rFonts w:ascii="Arial" w:hAnsi="Arial" w:cs="Arial"/>
          <w:color w:val="000000"/>
        </w:rPr>
        <w:t xml:space="preserve"> (mais duradouro) e obstrução de </w:t>
      </w:r>
      <w:r w:rsidR="004D2821">
        <w:rPr>
          <w:rFonts w:ascii="Arial" w:hAnsi="Arial" w:cs="Arial"/>
          <w:color w:val="000000"/>
        </w:rPr>
        <w:t xml:space="preserve">vasos para a confecção de </w:t>
      </w:r>
      <w:r w:rsidR="0083322B">
        <w:rPr>
          <w:rFonts w:ascii="Arial" w:hAnsi="Arial" w:cs="Arial"/>
          <w:color w:val="000000"/>
        </w:rPr>
        <w:t xml:space="preserve">fístulas </w:t>
      </w:r>
      <w:r w:rsidR="004D2821">
        <w:rPr>
          <w:rFonts w:ascii="Arial" w:hAnsi="Arial" w:cs="Arial"/>
          <w:color w:val="000000"/>
        </w:rPr>
        <w:t xml:space="preserve">AV </w:t>
      </w:r>
      <w:r w:rsidR="0083322B">
        <w:rPr>
          <w:rFonts w:ascii="Arial" w:hAnsi="Arial" w:cs="Arial"/>
          <w:color w:val="000000"/>
        </w:rPr>
        <w:t>(caráter permanente);</w:t>
      </w:r>
    </w:p>
    <w:p w14:paraId="26F5D5BE" w14:textId="77777777" w:rsidR="0083322B" w:rsidRDefault="00720C79" w:rsidP="004014A1">
      <w:pPr>
        <w:pStyle w:val="NormalWeb"/>
        <w:numPr>
          <w:ilvl w:val="2"/>
          <w:numId w:val="1"/>
        </w:numPr>
        <w:spacing w:before="120" w:beforeAutospacing="0" w:after="120" w:afterAutospacing="0" w:line="276" w:lineRule="auto"/>
        <w:ind w:left="1134" w:hanging="28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</w:t>
      </w:r>
      <w:r w:rsidR="0083322B">
        <w:rPr>
          <w:rFonts w:ascii="Arial" w:hAnsi="Arial" w:cs="Arial"/>
          <w:color w:val="000000"/>
        </w:rPr>
        <w:t>m casos de diálise peritonial, peritonites e cirurgias prévias</w:t>
      </w:r>
      <w:r>
        <w:rPr>
          <w:rFonts w:ascii="Arial" w:hAnsi="Arial" w:cs="Arial"/>
          <w:color w:val="000000"/>
        </w:rPr>
        <w:t>, e alterações no transporte peritonial de moléculas e água;</w:t>
      </w:r>
    </w:p>
    <w:p w14:paraId="4015AEB1" w14:textId="77777777" w:rsidR="0083322B" w:rsidRDefault="0083322B" w:rsidP="004014A1">
      <w:pPr>
        <w:pStyle w:val="NormalWeb"/>
        <w:numPr>
          <w:ilvl w:val="1"/>
          <w:numId w:val="1"/>
        </w:numPr>
        <w:spacing w:before="120" w:beforeAutospacing="0" w:after="120" w:afterAutospacing="0" w:line="276" w:lineRule="auto"/>
        <w:ind w:left="851" w:hanging="284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>Formulários a serem preenchidos:</w:t>
      </w:r>
    </w:p>
    <w:p w14:paraId="1ADB9FE2" w14:textId="77777777" w:rsidR="0083322B" w:rsidRPr="005C7D0A" w:rsidRDefault="00681D46" w:rsidP="004014A1">
      <w:pPr>
        <w:pStyle w:val="NormalWeb"/>
        <w:numPr>
          <w:ilvl w:val="2"/>
          <w:numId w:val="1"/>
        </w:numPr>
        <w:spacing w:before="120" w:beforeAutospacing="0" w:after="120" w:afterAutospacing="0" w:line="276" w:lineRule="auto"/>
        <w:ind w:left="1134" w:hanging="283"/>
        <w:jc w:val="both"/>
        <w:rPr>
          <w:rFonts w:ascii="Arial" w:hAnsi="Arial" w:cs="Arial"/>
          <w:color w:val="000000"/>
        </w:rPr>
      </w:pPr>
      <w:bookmarkStart w:id="0" w:name="ANEXO23ANEXOI"/>
      <w:bookmarkEnd w:id="0"/>
      <w:r w:rsidRPr="00681D46">
        <w:rPr>
          <w:rStyle w:val="Forte"/>
          <w:rFonts w:ascii="Arial" w:hAnsi="Arial" w:cs="Arial"/>
          <w:color w:val="000000"/>
          <w:sz w:val="16"/>
          <w:szCs w:val="16"/>
        </w:rPr>
        <w:t>ANEXO </w:t>
      </w:r>
      <w:proofErr w:type="gramStart"/>
      <w:r w:rsidRPr="00681D46">
        <w:rPr>
          <w:rStyle w:val="Forte"/>
          <w:rFonts w:ascii="Arial" w:hAnsi="Arial" w:cs="Arial"/>
          <w:color w:val="000000"/>
          <w:sz w:val="16"/>
          <w:szCs w:val="16"/>
        </w:rPr>
        <w:t>23  DO</w:t>
      </w:r>
      <w:proofErr w:type="gramEnd"/>
      <w:r w:rsidRPr="00681D46">
        <w:rPr>
          <w:rStyle w:val="Forte"/>
          <w:rFonts w:ascii="Arial" w:hAnsi="Arial" w:cs="Arial"/>
          <w:color w:val="000000"/>
          <w:sz w:val="16"/>
          <w:szCs w:val="16"/>
        </w:rPr>
        <w:t> ANEXO I</w:t>
      </w:r>
      <w:r w:rsidRPr="00681D46">
        <w:rPr>
          <w:rFonts w:ascii="Arial" w:hAnsi="Arial" w:cs="Arial"/>
          <w:color w:val="000000"/>
          <w:sz w:val="16"/>
          <w:szCs w:val="16"/>
        </w:rPr>
        <w:t xml:space="preserve">  -  </w:t>
      </w:r>
      <w:r w:rsidRPr="005C7D0A">
        <w:rPr>
          <w:rFonts w:ascii="Arial" w:hAnsi="Arial" w:cs="Arial"/>
          <w:b/>
          <w:color w:val="000000"/>
          <w:sz w:val="16"/>
          <w:szCs w:val="16"/>
        </w:rPr>
        <w:t>FICHA DE PRIORIZAÇÃO POR IMPOSSIBILIDADE TOTAL DE ACESSO PARA DIÁLISE</w:t>
      </w:r>
    </w:p>
    <w:p w14:paraId="769163EF" w14:textId="77777777" w:rsidR="0083322B" w:rsidRPr="0083322B" w:rsidRDefault="0083322B" w:rsidP="004014A1">
      <w:pPr>
        <w:pStyle w:val="NormalWeb"/>
        <w:numPr>
          <w:ilvl w:val="1"/>
          <w:numId w:val="1"/>
        </w:numPr>
        <w:spacing w:before="120" w:beforeAutospacing="0" w:after="120" w:afterAutospacing="0" w:line="276" w:lineRule="auto"/>
        <w:ind w:left="851" w:hanging="284"/>
        <w:jc w:val="both"/>
        <w:rPr>
          <w:rFonts w:ascii="Arial" w:hAnsi="Arial" w:cs="Arial"/>
          <w:i/>
          <w:color w:val="000000"/>
        </w:rPr>
      </w:pPr>
      <w:r w:rsidRPr="0083322B">
        <w:rPr>
          <w:rFonts w:ascii="Arial" w:hAnsi="Arial" w:cs="Arial"/>
          <w:i/>
          <w:color w:val="000000"/>
        </w:rPr>
        <w:t>Recebimento das solicitações de urgência por parte das equipes transplantadoras:</w:t>
      </w:r>
    </w:p>
    <w:p w14:paraId="42B3C8ED" w14:textId="77777777" w:rsidR="0083322B" w:rsidRDefault="005C7D0A" w:rsidP="004014A1">
      <w:pPr>
        <w:pStyle w:val="NormalWeb"/>
        <w:numPr>
          <w:ilvl w:val="2"/>
          <w:numId w:val="1"/>
        </w:numPr>
        <w:spacing w:before="120" w:beforeAutospacing="0" w:after="120" w:afterAutospacing="0" w:line="276" w:lineRule="auto"/>
        <w:ind w:left="1134" w:hanging="28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Abrir e-mail </w:t>
      </w:r>
      <w:hyperlink r:id="rId5" w:history="1">
        <w:r w:rsidR="00FD55CD" w:rsidRPr="00E57D72">
          <w:rPr>
            <w:rStyle w:val="Hyperlink"/>
            <w:rFonts w:ascii="Arial" w:hAnsi="Arial" w:cs="Arial"/>
          </w:rPr>
          <w:t>urgenciarenal@saude.rs.gov.br</w:t>
        </w:r>
      </w:hyperlink>
      <w:r>
        <w:rPr>
          <w:rFonts w:ascii="Arial" w:hAnsi="Arial" w:cs="Arial"/>
          <w:color w:val="000000"/>
        </w:rPr>
        <w:t xml:space="preserve"> no expresso.rs e verificar as demandas de urgência;</w:t>
      </w:r>
      <w:r w:rsidR="007C60E8">
        <w:rPr>
          <w:rFonts w:ascii="Arial" w:hAnsi="Arial" w:cs="Arial"/>
          <w:color w:val="000000"/>
        </w:rPr>
        <w:t xml:space="preserve"> (senha: urgerim18)</w:t>
      </w:r>
    </w:p>
    <w:p w14:paraId="063004BE" w14:textId="77777777" w:rsidR="005C7D0A" w:rsidRDefault="00720C79" w:rsidP="004014A1">
      <w:pPr>
        <w:pStyle w:val="NormalWeb"/>
        <w:numPr>
          <w:ilvl w:val="2"/>
          <w:numId w:val="1"/>
        </w:numPr>
        <w:spacing w:before="120" w:beforeAutospacing="0" w:after="120" w:afterAutospacing="0" w:line="276" w:lineRule="auto"/>
        <w:ind w:left="1134" w:hanging="28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</w:t>
      </w:r>
      <w:r w:rsidR="005C7D0A" w:rsidRPr="005C7D0A">
        <w:rPr>
          <w:rFonts w:ascii="Arial" w:hAnsi="Arial" w:cs="Arial"/>
          <w:color w:val="000000"/>
        </w:rPr>
        <w:t xml:space="preserve">ncaminhar para três avaliadores com expertise previamente listados junto à CET/RS, observando que não pertençam à equipe solicitante. </w:t>
      </w:r>
      <w:r w:rsidR="005C7D0A">
        <w:rPr>
          <w:rFonts w:ascii="Arial" w:hAnsi="Arial" w:cs="Arial"/>
          <w:color w:val="000000"/>
        </w:rPr>
        <w:t xml:space="preserve">Importante que a documentação não seja identificada </w:t>
      </w:r>
      <w:r w:rsidR="00D6654A">
        <w:rPr>
          <w:rFonts w:ascii="Arial" w:hAnsi="Arial" w:cs="Arial"/>
          <w:color w:val="000000"/>
        </w:rPr>
        <w:t>tanto para o</w:t>
      </w:r>
      <w:r w:rsidR="005C7D0A">
        <w:rPr>
          <w:rFonts w:ascii="Arial" w:hAnsi="Arial" w:cs="Arial"/>
          <w:color w:val="000000"/>
        </w:rPr>
        <w:t xml:space="preserve"> paciente </w:t>
      </w:r>
      <w:r w:rsidR="00D6654A">
        <w:rPr>
          <w:rFonts w:ascii="Arial" w:hAnsi="Arial" w:cs="Arial"/>
          <w:color w:val="000000"/>
        </w:rPr>
        <w:t>quanto para a</w:t>
      </w:r>
      <w:r w:rsidR="005C7D0A">
        <w:rPr>
          <w:rFonts w:ascii="Arial" w:hAnsi="Arial" w:cs="Arial"/>
          <w:color w:val="000000"/>
        </w:rPr>
        <w:t xml:space="preserve"> equipe </w:t>
      </w:r>
      <w:r w:rsidR="00D6654A">
        <w:rPr>
          <w:rFonts w:ascii="Arial" w:hAnsi="Arial" w:cs="Arial"/>
          <w:color w:val="000000"/>
        </w:rPr>
        <w:t>responsável</w:t>
      </w:r>
      <w:r w:rsidR="005C7D0A">
        <w:rPr>
          <w:rFonts w:ascii="Arial" w:hAnsi="Arial" w:cs="Arial"/>
          <w:color w:val="000000"/>
        </w:rPr>
        <w:t>;</w:t>
      </w:r>
    </w:p>
    <w:p w14:paraId="7B329BED" w14:textId="77777777" w:rsidR="00E273BA" w:rsidRDefault="00E273BA" w:rsidP="004014A1">
      <w:pPr>
        <w:pStyle w:val="NormalWeb"/>
        <w:numPr>
          <w:ilvl w:val="1"/>
          <w:numId w:val="1"/>
        </w:numPr>
        <w:spacing w:before="120" w:beforeAutospacing="0" w:after="120" w:afterAutospacing="0" w:line="276" w:lineRule="auto"/>
        <w:ind w:left="851" w:hanging="284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>A avaliação referente à priorização do paciente será realizada, considerando os pareceres encaminhados, sendo definida pela maioria simples;</w:t>
      </w:r>
    </w:p>
    <w:p w14:paraId="5F94C80F" w14:textId="77777777" w:rsidR="00E273BA" w:rsidRDefault="00E273BA" w:rsidP="004014A1">
      <w:pPr>
        <w:pStyle w:val="NormalWeb"/>
        <w:numPr>
          <w:ilvl w:val="1"/>
          <w:numId w:val="1"/>
        </w:numPr>
        <w:spacing w:before="120" w:beforeAutospacing="0" w:after="120" w:afterAutospacing="0" w:line="276" w:lineRule="auto"/>
        <w:ind w:left="851" w:hanging="284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>O resultado final deverá ser informado às equipes e, no caso de parecer favorável, o paciente deve ser priorizado no sistema SIG;</w:t>
      </w:r>
    </w:p>
    <w:p w14:paraId="69CBD61E" w14:textId="77777777" w:rsidR="00A63EA0" w:rsidRPr="00C618A6" w:rsidRDefault="00E273BA" w:rsidP="004014A1">
      <w:pPr>
        <w:pStyle w:val="NormalWeb"/>
        <w:numPr>
          <w:ilvl w:val="1"/>
          <w:numId w:val="1"/>
        </w:numPr>
        <w:spacing w:before="120" w:beforeAutospacing="0" w:after="120" w:afterAutospacing="0" w:line="276" w:lineRule="auto"/>
        <w:ind w:left="851" w:hanging="284"/>
        <w:jc w:val="both"/>
      </w:pPr>
      <w:r w:rsidRPr="00600021">
        <w:rPr>
          <w:rFonts w:ascii="Arial" w:hAnsi="Arial" w:cs="Arial"/>
          <w:i/>
          <w:color w:val="000000"/>
        </w:rPr>
        <w:t xml:space="preserve">Considerando a duração da urgência de 30 dias, estes casos deverão ser acompanhados periodicamente: se o receptor permanecer ativo na lista única, faz-se a renovação da urgência, sem a necessidade de nova solicitação da equipe. </w:t>
      </w:r>
    </w:p>
    <w:p w14:paraId="4BE2219A" w14:textId="77777777" w:rsidR="00C618A6" w:rsidRPr="001B1C43" w:rsidRDefault="00C618A6" w:rsidP="004014A1">
      <w:pPr>
        <w:pStyle w:val="NormalWeb"/>
        <w:spacing w:before="120" w:beforeAutospacing="0" w:after="120" w:afterAutospacing="0" w:line="276" w:lineRule="auto"/>
        <w:ind w:left="927"/>
        <w:jc w:val="center"/>
        <w:rPr>
          <w:rFonts w:ascii="Arial" w:hAnsi="Arial" w:cs="Arial"/>
          <w:b/>
          <w:color w:val="000000"/>
          <w:spacing w:val="20"/>
        </w:rPr>
      </w:pPr>
      <w:r w:rsidRPr="001B1C43">
        <w:rPr>
          <w:rFonts w:ascii="Arial" w:hAnsi="Arial" w:cs="Arial"/>
          <w:b/>
          <w:color w:val="000000"/>
          <w:spacing w:val="20"/>
        </w:rPr>
        <w:t>MÉDICOS AVALIADORES DE URGÊNCIA RENAL</w:t>
      </w:r>
    </w:p>
    <w:tbl>
      <w:tblPr>
        <w:tblStyle w:val="Tabelacomgrade"/>
        <w:tblW w:w="9164" w:type="dxa"/>
        <w:jc w:val="center"/>
        <w:tblLook w:val="04A0" w:firstRow="1" w:lastRow="0" w:firstColumn="1" w:lastColumn="0" w:noHBand="0" w:noVBand="1"/>
      </w:tblPr>
      <w:tblGrid>
        <w:gridCol w:w="1464"/>
        <w:gridCol w:w="7700"/>
      </w:tblGrid>
      <w:tr w:rsidR="00636C92" w:rsidRPr="004014A1" w14:paraId="6B5BC2B1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3D2FEF95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HBBL</w:t>
            </w:r>
          </w:p>
        </w:tc>
        <w:tc>
          <w:tcPr>
            <w:tcW w:w="7700" w:type="dxa"/>
            <w:vAlign w:val="center"/>
          </w:tcPr>
          <w:p w14:paraId="7306EA69" w14:textId="77777777" w:rsidR="00636C92" w:rsidRPr="004014A1" w:rsidRDefault="00636C92" w:rsidP="00636C92">
            <w:pP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Marcia </w:t>
            </w:r>
            <w:proofErr w:type="spellStart"/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Abichequer</w:t>
            </w:r>
            <w:proofErr w:type="spellEnd"/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 - abichequer@uol.com.br</w:t>
            </w:r>
          </w:p>
        </w:tc>
      </w:tr>
      <w:tr w:rsidR="00636C92" w:rsidRPr="004014A1" w14:paraId="589BF0DC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3A48E694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HNSP</w:t>
            </w:r>
          </w:p>
        </w:tc>
        <w:tc>
          <w:tcPr>
            <w:tcW w:w="7700" w:type="dxa"/>
            <w:vAlign w:val="center"/>
          </w:tcPr>
          <w:p w14:paraId="19C2935C" w14:textId="3A2515F9" w:rsidR="00636C92" w:rsidRPr="004014A1" w:rsidRDefault="00943AE1" w:rsidP="00636C92">
            <w:pP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 w:rsidRPr="00943AE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Cristiane Martins da Silveira Souto </w:t>
            </w:r>
            <w:r w:rsidR="00636C92"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-</w:t>
            </w: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 </w:t>
            </w:r>
            <w:r w:rsidRPr="00943AE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crismssouto@gmail.com</w:t>
            </w:r>
          </w:p>
        </w:tc>
      </w:tr>
      <w:tr w:rsidR="00636C92" w:rsidRPr="004014A1" w14:paraId="34689252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717409DA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HSLPUC</w:t>
            </w:r>
          </w:p>
        </w:tc>
        <w:tc>
          <w:tcPr>
            <w:tcW w:w="7700" w:type="dxa"/>
            <w:vAlign w:val="center"/>
          </w:tcPr>
          <w:p w14:paraId="0BAAD98C" w14:textId="77777777" w:rsidR="00636C92" w:rsidRPr="004014A1" w:rsidRDefault="00636C92" w:rsidP="00636C92">
            <w:pP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Ivan </w:t>
            </w:r>
            <w:proofErr w:type="spellStart"/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Antonello</w:t>
            </w:r>
            <w:proofErr w:type="spellEnd"/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 </w:t>
            </w:r>
            <w:r w:rsidR="005D7426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–</w:t>
            </w: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 </w:t>
            </w:r>
            <w:r w:rsidR="005D7426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Ivan.</w:t>
            </w: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antonello@pucrs.br</w:t>
            </w:r>
          </w:p>
        </w:tc>
      </w:tr>
      <w:tr w:rsidR="00636C92" w:rsidRPr="004014A1" w14:paraId="5E53A4D5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2AC2320D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ISCMPA</w:t>
            </w:r>
          </w:p>
        </w:tc>
        <w:tc>
          <w:tcPr>
            <w:tcW w:w="7700" w:type="dxa"/>
            <w:vAlign w:val="center"/>
          </w:tcPr>
          <w:p w14:paraId="7706E387" w14:textId="77777777" w:rsidR="00636C92" w:rsidRPr="004014A1" w:rsidRDefault="00636C92" w:rsidP="00636C92">
            <w:pP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Clotilde Garcia - cdruckgarcia@gmail.com</w:t>
            </w:r>
          </w:p>
        </w:tc>
      </w:tr>
      <w:tr w:rsidR="00636C92" w:rsidRPr="004014A1" w14:paraId="20A1DA8A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49E763B5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HCPA</w:t>
            </w:r>
          </w:p>
        </w:tc>
        <w:tc>
          <w:tcPr>
            <w:tcW w:w="7700" w:type="dxa"/>
            <w:vAlign w:val="center"/>
          </w:tcPr>
          <w:p w14:paraId="4CE8F8E9" w14:textId="77777777" w:rsidR="00636C92" w:rsidRPr="004014A1" w:rsidRDefault="00636C92" w:rsidP="00636C92">
            <w:pP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Verônica </w:t>
            </w:r>
            <w:proofErr w:type="spellStart"/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Horbe</w:t>
            </w:r>
            <w:proofErr w:type="spellEnd"/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 - horbe@cpovo.net</w:t>
            </w:r>
          </w:p>
        </w:tc>
      </w:tr>
      <w:tr w:rsidR="00636C92" w:rsidRPr="004014A1" w14:paraId="220B44D4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7C499614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CET/RS</w:t>
            </w:r>
          </w:p>
        </w:tc>
        <w:tc>
          <w:tcPr>
            <w:tcW w:w="7700" w:type="dxa"/>
            <w:vAlign w:val="center"/>
          </w:tcPr>
          <w:p w14:paraId="2E0F7514" w14:textId="77777777" w:rsidR="00636C92" w:rsidRPr="004014A1" w:rsidRDefault="00636C92" w:rsidP="00636C92">
            <w:pPr>
              <w:rPr>
                <w:sz w:val="24"/>
                <w:szCs w:val="24"/>
              </w:rPr>
            </w:pP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Marcelo Generali – margenerali@uol.com.br</w:t>
            </w:r>
          </w:p>
        </w:tc>
      </w:tr>
      <w:tr w:rsidR="00636C92" w:rsidRPr="004014A1" w14:paraId="3E631C8B" w14:textId="77777777" w:rsidTr="00636C92">
        <w:trPr>
          <w:trHeight w:val="366"/>
          <w:jc w:val="center"/>
        </w:trPr>
        <w:tc>
          <w:tcPr>
            <w:tcW w:w="1464" w:type="dxa"/>
            <w:vAlign w:val="center"/>
          </w:tcPr>
          <w:p w14:paraId="255C3436" w14:textId="77777777" w:rsidR="00636C92" w:rsidRPr="004014A1" w:rsidRDefault="00636C92" w:rsidP="00636C92">
            <w:pPr>
              <w:jc w:val="center"/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HCI</w:t>
            </w:r>
          </w:p>
        </w:tc>
        <w:tc>
          <w:tcPr>
            <w:tcW w:w="7700" w:type="dxa"/>
            <w:vAlign w:val="center"/>
          </w:tcPr>
          <w:p w14:paraId="5D4BC220" w14:textId="417DAE05" w:rsidR="00636C92" w:rsidRPr="004014A1" w:rsidRDefault="00636C92" w:rsidP="00636C92">
            <w:pPr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</w:pPr>
            <w:r w:rsidRPr="004014A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Ana Lúcia</w:t>
            </w:r>
            <w:r w:rsidR="00943AE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 xml:space="preserve"> - </w:t>
            </w:r>
            <w:r w:rsidR="00943AE1" w:rsidRPr="00943AE1">
              <w:rPr>
                <w:rFonts w:ascii="Arial" w:hAnsi="Arial" w:cs="Arial"/>
                <w:color w:val="666666"/>
                <w:sz w:val="24"/>
                <w:szCs w:val="24"/>
                <w:shd w:val="clear" w:color="auto" w:fill="E9EEF2"/>
              </w:rPr>
              <w:t>anacaetano.vascular@terra.com.br</w:t>
            </w:r>
          </w:p>
        </w:tc>
      </w:tr>
    </w:tbl>
    <w:p w14:paraId="7B4ACEF1" w14:textId="77777777" w:rsidR="004014A1" w:rsidRPr="00C325F4" w:rsidRDefault="004014A1" w:rsidP="004014A1">
      <w:pPr>
        <w:rPr>
          <w:rFonts w:ascii="Arial" w:hAnsi="Arial" w:cs="Arial"/>
          <w:color w:val="666666"/>
          <w:sz w:val="24"/>
          <w:szCs w:val="24"/>
          <w:shd w:val="clear" w:color="auto" w:fill="E9EEF2"/>
        </w:rPr>
      </w:pPr>
    </w:p>
    <w:sectPr w:rsidR="004014A1" w:rsidRPr="00C325F4" w:rsidSect="004014A1">
      <w:pgSz w:w="11906" w:h="16838"/>
      <w:pgMar w:top="567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B4E62"/>
    <w:multiLevelType w:val="hybridMultilevel"/>
    <w:tmpl w:val="73B6B0CE"/>
    <w:lvl w:ilvl="0" w:tplc="04160013">
      <w:start w:val="1"/>
      <w:numFmt w:val="upperRoman"/>
      <w:lvlText w:val="%1."/>
      <w:lvlJc w:val="right"/>
      <w:pPr>
        <w:ind w:left="1287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8D624AB6">
      <w:start w:val="1"/>
      <w:numFmt w:val="bullet"/>
      <w:lvlText w:val="-"/>
      <w:lvlJc w:val="left"/>
      <w:pPr>
        <w:ind w:left="2727" w:hanging="180"/>
      </w:pPr>
      <w:rPr>
        <w:rFonts w:ascii="Times New Roman" w:hAnsi="Times New Roman" w:cs="Times New Roman" w:hint="default"/>
      </w:r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668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A0"/>
    <w:rsid w:val="001B1C43"/>
    <w:rsid w:val="001F108A"/>
    <w:rsid w:val="002A391B"/>
    <w:rsid w:val="003F57FB"/>
    <w:rsid w:val="004014A1"/>
    <w:rsid w:val="004670D3"/>
    <w:rsid w:val="004B7085"/>
    <w:rsid w:val="004D2821"/>
    <w:rsid w:val="005C7D0A"/>
    <w:rsid w:val="005D7426"/>
    <w:rsid w:val="005F1BE9"/>
    <w:rsid w:val="00600021"/>
    <w:rsid w:val="00636C92"/>
    <w:rsid w:val="00681D46"/>
    <w:rsid w:val="0069326D"/>
    <w:rsid w:val="006B1995"/>
    <w:rsid w:val="00720C79"/>
    <w:rsid w:val="007C60E8"/>
    <w:rsid w:val="0083322B"/>
    <w:rsid w:val="00854688"/>
    <w:rsid w:val="00943AE1"/>
    <w:rsid w:val="009506C9"/>
    <w:rsid w:val="009848DE"/>
    <w:rsid w:val="00A63EA0"/>
    <w:rsid w:val="00AC6CFE"/>
    <w:rsid w:val="00BE17E0"/>
    <w:rsid w:val="00C209C4"/>
    <w:rsid w:val="00C325F4"/>
    <w:rsid w:val="00C618A6"/>
    <w:rsid w:val="00CB2DF3"/>
    <w:rsid w:val="00D15152"/>
    <w:rsid w:val="00D6654A"/>
    <w:rsid w:val="00E219BA"/>
    <w:rsid w:val="00E273BA"/>
    <w:rsid w:val="00EA7EF0"/>
    <w:rsid w:val="00FD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D047"/>
  <w15:docId w15:val="{36B3528E-F297-432D-875A-2C6C7C83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0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209C4"/>
    <w:rPr>
      <w:b/>
      <w:bCs/>
    </w:rPr>
  </w:style>
  <w:style w:type="character" w:styleId="Hyperlink">
    <w:name w:val="Hyperlink"/>
    <w:basedOn w:val="Fontepargpadro"/>
    <w:uiPriority w:val="99"/>
    <w:unhideWhenUsed/>
    <w:rsid w:val="005C7D0A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C7D0A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401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rgenciarenal@saude.rs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392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ses1800221</dc:creator>
  <cp:lastModifiedBy>Sandra Rodrigues dos Santos</cp:lastModifiedBy>
  <cp:revision>2</cp:revision>
  <cp:lastPrinted>2019-08-06T12:29:00Z</cp:lastPrinted>
  <dcterms:created xsi:type="dcterms:W3CDTF">2024-02-16T18:15:00Z</dcterms:created>
  <dcterms:modified xsi:type="dcterms:W3CDTF">2024-02-16T18:15:00Z</dcterms:modified>
</cp:coreProperties>
</file>