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March 9th,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4561</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BTCS Inc</w:t>
            </w:r>
          </w:p>
          <w:p w:rsidR="00000000" w:rsidDel="00000000" w:rsidP="00000000" w:rsidRDefault="00000000" w:rsidRPr="00000000" w14:paraId="00000007">
            <w:pPr>
              <w:rPr>
                <w:sz w:val="22"/>
                <w:szCs w:val="22"/>
              </w:rPr>
            </w:pPr>
            <w:r w:rsidDel="00000000" w:rsidR="00000000" w:rsidRPr="00000000">
              <w:rPr>
                <w:sz w:val="22"/>
                <w:szCs w:val="22"/>
                <w:rtl w:val="0"/>
              </w:rPr>
              <w:t xml:space="preserve">9466 Georgia Avenue #124</w:t>
            </w:r>
          </w:p>
          <w:p w:rsidR="00000000" w:rsidDel="00000000" w:rsidP="00000000" w:rsidRDefault="00000000" w:rsidRPr="00000000" w14:paraId="00000008">
            <w:pPr>
              <w:rPr>
                <w:sz w:val="22"/>
                <w:szCs w:val="22"/>
              </w:rPr>
            </w:pPr>
            <w:r w:rsidDel="00000000" w:rsidR="00000000" w:rsidRPr="00000000">
              <w:rPr>
                <w:sz w:val="22"/>
                <w:szCs w:val="22"/>
                <w:rtl w:val="0"/>
              </w:rPr>
              <w:t xml:space="preserve">Silver Spring, MD</w:t>
            </w:r>
          </w:p>
          <w:p w:rsidR="00000000" w:rsidDel="00000000" w:rsidP="00000000" w:rsidRDefault="00000000" w:rsidRPr="00000000" w14:paraId="00000009">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A">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C">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D">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E">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85.0" w:type="dxa"/>
        <w:jc w:val="left"/>
        <w:tblInd w:w="15.0" w:type="dxa"/>
        <w:tblLayout w:type="fixed"/>
        <w:tblLook w:val="0000"/>
      </w:tblPr>
      <w:tblGrid>
        <w:gridCol w:w="10020"/>
        <w:gridCol w:w="4965"/>
        <w:tblGridChange w:id="0">
          <w:tblGrid>
            <w:gridCol w:w="10020"/>
            <w:gridCol w:w="4965"/>
          </w:tblGrid>
        </w:tblGridChange>
      </w:tblGrid>
      <w:tr>
        <w:trPr>
          <w:trHeight w:val="80" w:hRule="atLeast"/>
        </w:trPr>
        <w:tc>
          <w:tcPr/>
          <w:p w:rsidR="00000000" w:rsidDel="00000000" w:rsidP="00000000" w:rsidRDefault="00000000" w:rsidRPr="00000000" w14:paraId="0000000F">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Address: Ukraine, 01021, Kyiv, ap. 24, 7 Clovsky Uzviz str.</w:t>
            </w:r>
          </w:p>
          <w:p w:rsidR="00000000" w:rsidDel="00000000" w:rsidP="00000000" w:rsidRDefault="00000000" w:rsidRPr="00000000" w14:paraId="00000012">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Payment Methods:</w:t>
            </w:r>
          </w:p>
          <w:p w:rsidR="00000000" w:rsidDel="00000000" w:rsidP="00000000" w:rsidRDefault="00000000" w:rsidRPr="00000000" w14:paraId="00000015">
            <w:pPr>
              <w:tabs>
                <w:tab w:val="left" w:pos="1282"/>
                <w:tab w:val="left" w:pos="2477"/>
                <w:tab w:val="left" w:pos="3248"/>
                <w:tab w:val="left" w:pos="4854"/>
                <w:tab w:val="left" w:pos="6099"/>
                <w:tab w:val="left" w:pos="9639"/>
              </w:tabs>
              <w:rPr/>
            </w:pPr>
            <w:r w:rsidDel="00000000" w:rsidR="00000000" w:rsidRPr="00000000">
              <w:rPr>
                <w:rtl w:val="0"/>
              </w:rPr>
              <w:t xml:space="preserve">BTC: 37qkDAqLdqqc4RyvJQtQjtdEv9iu4k7K6K</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t xml:space="preserve">ETH: 0xC01cE2Fa6Ab755FA2F3628040a0DeF859B346c94</w:t>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t xml:space="preserve">USDT: 0x147bfc815eb856976672756d22bdd642cbaf7874</w:t>
              <w:br w:type="textWrapping"/>
            </w:r>
          </w:p>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t xml:space="preserve">Wire Transfer:</w:t>
            </w:r>
          </w:p>
          <w:p w:rsidR="00000000" w:rsidDel="00000000" w:rsidP="00000000" w:rsidRDefault="00000000" w:rsidRPr="00000000" w14:paraId="00000019">
            <w:pPr>
              <w:tabs>
                <w:tab w:val="left" w:pos="1282"/>
                <w:tab w:val="left" w:pos="2477"/>
                <w:tab w:val="left" w:pos="3248"/>
                <w:tab w:val="left" w:pos="4854"/>
                <w:tab w:val="left" w:pos="6099"/>
                <w:tab w:val="left" w:pos="9639"/>
              </w:tabs>
              <w:rPr/>
            </w:pPr>
            <w:r w:rsidDel="00000000" w:rsidR="00000000" w:rsidRPr="00000000">
              <w:rPr>
                <w:rtl w:val="0"/>
              </w:rPr>
              <w:t xml:space="preserve">The bank account of the company: 26003052741748</w:t>
            </w:r>
          </w:p>
          <w:p w:rsidR="00000000" w:rsidDel="00000000" w:rsidP="00000000" w:rsidRDefault="00000000" w:rsidRPr="00000000" w14:paraId="0000001A">
            <w:pPr>
              <w:tabs>
                <w:tab w:val="left" w:pos="1282"/>
                <w:tab w:val="left" w:pos="2477"/>
                <w:tab w:val="left" w:pos="3248"/>
                <w:tab w:val="left" w:pos="4854"/>
                <w:tab w:val="left" w:pos="6099"/>
                <w:tab w:val="left" w:pos="9639"/>
              </w:tabs>
              <w:rPr/>
            </w:pPr>
            <w:r w:rsidDel="00000000" w:rsidR="00000000" w:rsidRPr="00000000">
              <w:rPr>
                <w:rtl w:val="0"/>
              </w:rPr>
              <w:t xml:space="preserve">Name of the bank: PJSC CB “PRIVATBANK”, 1D HRUSHEVSKOHO STR., KYIV, 01001, UKRAINE Bank</w:t>
            </w:r>
          </w:p>
          <w:p w:rsidR="00000000" w:rsidDel="00000000" w:rsidP="00000000" w:rsidRDefault="00000000" w:rsidRPr="00000000" w14:paraId="0000001B">
            <w:pPr>
              <w:tabs>
                <w:tab w:val="left" w:pos="1282"/>
                <w:tab w:val="left" w:pos="2477"/>
                <w:tab w:val="left" w:pos="3248"/>
                <w:tab w:val="left" w:pos="4854"/>
                <w:tab w:val="left" w:pos="6099"/>
                <w:tab w:val="left" w:pos="9639"/>
              </w:tabs>
              <w:rPr/>
            </w:pPr>
            <w:r w:rsidDel="00000000" w:rsidR="00000000" w:rsidRPr="00000000">
              <w:rPr>
                <w:rtl w:val="0"/>
              </w:rPr>
              <w:t xml:space="preserve">SWIFT Code: PBANUA2X</w:t>
            </w:r>
          </w:p>
          <w:p w:rsidR="00000000" w:rsidDel="00000000" w:rsidP="00000000" w:rsidRDefault="00000000" w:rsidRPr="00000000" w14:paraId="0000001C">
            <w:pPr>
              <w:tabs>
                <w:tab w:val="left" w:pos="1282"/>
                <w:tab w:val="left" w:pos="2477"/>
                <w:tab w:val="left" w:pos="3248"/>
                <w:tab w:val="left" w:pos="4854"/>
                <w:tab w:val="left" w:pos="6099"/>
                <w:tab w:val="left" w:pos="9639"/>
              </w:tabs>
              <w:rPr/>
            </w:pPr>
            <w:r w:rsidDel="00000000" w:rsidR="00000000" w:rsidRPr="00000000">
              <w:rPr>
                <w:rtl w:val="0"/>
              </w:rPr>
              <w:t xml:space="preserve">IBAN Code: UA083206490000026003052741748</w:t>
            </w:r>
          </w:p>
          <w:p w:rsidR="00000000" w:rsidDel="00000000" w:rsidP="00000000" w:rsidRDefault="00000000" w:rsidRPr="00000000" w14:paraId="0000001D">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E">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F">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20">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21">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22">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3">
                  <w:pPr>
                    <w:jc w:val="center"/>
                    <w:rPr/>
                  </w:pPr>
                  <w:r w:rsidDel="00000000" w:rsidR="00000000" w:rsidRPr="00000000">
                    <w:rPr>
                      <w:rtl w:val="0"/>
                    </w:rPr>
                    <w:t xml:space="preserve">Sub Total Value </w:t>
                  </w:r>
                </w:p>
              </w:tc>
            </w:tr>
            <w:tr>
              <w:trPr>
                <w:trHeight w:val="300" w:hRule="atLeast"/>
              </w:trPr>
              <w:tc>
                <w:tcPr>
                  <w:vAlign w:val="center"/>
                </w:tcPr>
                <w:p w:rsidR="00000000" w:rsidDel="00000000" w:rsidP="00000000" w:rsidRDefault="00000000" w:rsidRPr="00000000" w14:paraId="00000024">
                  <w:pPr>
                    <w:ind w:left="360" w:firstLine="0"/>
                    <w:rPr/>
                  </w:pPr>
                  <w:r w:rsidDel="00000000" w:rsidR="00000000" w:rsidRPr="00000000">
                    <w:rPr>
                      <w:rtl w:val="0"/>
                    </w:rPr>
                    <w:t xml:space="preserve">Content distribution on CoinDesk and CoinTelegraph including: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Compelling narrative/story telling, content.</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Writing the custom content for 4 Native Articles with CryptoCoin.News and CoinDesk editorial.</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Designing the look and feel of the content for the articles.</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Hosting the articles on the CoinDesk.com and CoinTelegraph websites.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Marketing the content across the full CoinDesk and CoinTelegraph website, email newsletters to 260,000 active readers and promotion on social media (1.2 million followers).</w:t>
                  </w: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1</w:t>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54,950USD</w:t>
                  </w:r>
                </w:p>
              </w:tc>
            </w:tr>
            <w:tr>
              <w:trPr>
                <w:trHeight w:val="300" w:hRule="atLeast"/>
              </w:trPr>
              <w:tc>
                <w:tcPr>
                  <w:vAlign w:val="center"/>
                </w:tcPr>
                <w:p w:rsidR="00000000" w:rsidDel="00000000" w:rsidP="00000000" w:rsidRDefault="00000000" w:rsidRPr="00000000" w14:paraId="0000002F">
                  <w:pPr>
                    <w:rPr/>
                  </w:pP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32">
                  <w:pPr>
                    <w:jc w:val="center"/>
                    <w:rPr/>
                  </w:pPr>
                  <w:r w:rsidDel="00000000" w:rsidR="00000000" w:rsidRPr="00000000">
                    <w:rPr>
                      <w:rtl w:val="0"/>
                    </w:rPr>
                    <w:t xml:space="preserve">54,950USD</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7">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8">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9">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A">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B">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C">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sz w:val="24"/>
        <w:szCs w:val="24"/>
      </w:rPr>
    </w:pPr>
    <w:r w:rsidDel="00000000" w:rsidR="00000000" w:rsidRPr="00000000">
      <w:rPr>
        <w:sz w:val="24"/>
        <w:szCs w:val="24"/>
      </w:rPr>
      <w:drawing>
        <wp:inline distB="0" distT="0" distL="0" distR="0">
          <wp:extent cx="815340" cy="525780"/>
          <wp:effectExtent b="0" l="0" r="0" t="0"/>
          <wp:docPr descr="Epic MegaCorp" id="4"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6TxZItobaFmR5SiWKAkrUtMlcA==">AMUW2mXScgtiy7gYhb505lAZv+qODAl32J54uQbnpsKn1ROjp3AugNIxeS1RsJgdpUw6JT4dJU2bZQKTKGN956tEPb+i66by5zN9/Bz8gC7iv9RnlBE7Dfs=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