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03F4228F" w:rsidR="00C810B7" w:rsidRDefault="00893A54" w:rsidP="00C810B7">
      <w:pPr>
        <w:jc w:val="center"/>
        <w:rPr>
          <w:i/>
          <w:sz w:val="22"/>
          <w:szCs w:val="22"/>
        </w:rPr>
      </w:pPr>
      <w:r>
        <w:rPr>
          <w:i/>
          <w:sz w:val="22"/>
          <w:szCs w:val="22"/>
        </w:rPr>
        <w:t>February</w:t>
      </w:r>
      <w:r w:rsidR="00C810B7">
        <w:rPr>
          <w:i/>
          <w:sz w:val="22"/>
          <w:szCs w:val="22"/>
        </w:rPr>
        <w:t xml:space="preserve"> </w:t>
      </w:r>
      <w:r w:rsidR="00943BFC">
        <w:rPr>
          <w:i/>
          <w:sz w:val="22"/>
          <w:szCs w:val="22"/>
        </w:rPr>
        <w:t>2</w:t>
      </w:r>
      <w:r w:rsidR="00626DC3">
        <w:rPr>
          <w:i/>
          <w:sz w:val="22"/>
          <w:szCs w:val="22"/>
        </w:rPr>
        <w:t>5th</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58E5AF3F"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sidR="0091140D">
              <w:rPr>
                <w:bCs/>
                <w:sz w:val="22"/>
                <w:szCs w:val="22"/>
              </w:rPr>
              <w:t>3</w:t>
            </w:r>
            <w:r w:rsidR="00626DC3">
              <w:rPr>
                <w:bCs/>
                <w:sz w:val="22"/>
                <w:szCs w:val="22"/>
              </w:rPr>
              <w:t>4</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54D1D048" w:rsidR="00C810B7" w:rsidRDefault="00C810B7" w:rsidP="003C0B88">
            <w:pPr>
              <w:rPr>
                <w:sz w:val="22"/>
                <w:szCs w:val="22"/>
              </w:rPr>
            </w:pPr>
            <w:r>
              <w:rPr>
                <w:sz w:val="22"/>
                <w:szCs w:val="22"/>
                <w:u w:val="single"/>
              </w:rPr>
              <w:t>Payer</w:t>
            </w:r>
            <w:r w:rsidR="003C0B88">
              <w:rPr>
                <w:sz w:val="22"/>
                <w:szCs w:val="22"/>
                <w:u w:val="single"/>
              </w:rPr>
              <w:br/>
            </w:r>
            <w:r w:rsidR="00626DC3" w:rsidRPr="00626DC3">
              <w:rPr>
                <w:sz w:val="22"/>
                <w:szCs w:val="22"/>
              </w:rPr>
              <w:t>Bitcoin ABC</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42719FDE" w:rsidR="00C810B7" w:rsidRDefault="00C60A47" w:rsidP="00473A15">
                  <w:r>
                    <w:t>Forbes Article Retainer</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259AC00D" w:rsidR="00C810B7" w:rsidRDefault="00626DC3" w:rsidP="00650BF4">
                  <w:pPr>
                    <w:jc w:val="center"/>
                  </w:pPr>
                  <w:r>
                    <w:t>2</w:t>
                  </w:r>
                  <w:r w:rsidR="00C60A47">
                    <w:t>,</w:t>
                  </w:r>
                  <w:r w:rsidR="00893A54">
                    <w:t>9</w:t>
                  </w:r>
                  <w:r w:rsidR="00C810B7">
                    <w:t>50USD</w:t>
                  </w:r>
                </w:p>
              </w:tc>
            </w:tr>
            <w:tr w:rsidR="00C810B7" w14:paraId="357509A6" w14:textId="77777777" w:rsidTr="00650BF4">
              <w:trPr>
                <w:trHeight w:val="300"/>
              </w:trPr>
              <w:tc>
                <w:tcPr>
                  <w:tcW w:w="4470" w:type="dxa"/>
                  <w:vAlign w:val="center"/>
                </w:tcPr>
                <w:p w14:paraId="5FA1E001" w14:textId="1C0ED4C1" w:rsidR="00C810B7" w:rsidRDefault="00C810B7" w:rsidP="00473A15"/>
              </w:tc>
              <w:tc>
                <w:tcPr>
                  <w:tcW w:w="1035" w:type="dxa"/>
                  <w:vAlign w:val="center"/>
                </w:tcPr>
                <w:p w14:paraId="601B76C1" w14:textId="0004A012" w:rsidR="00C810B7" w:rsidRDefault="00C810B7" w:rsidP="00650BF4">
                  <w:pPr>
                    <w:jc w:val="center"/>
                  </w:pPr>
                </w:p>
              </w:tc>
              <w:tc>
                <w:tcPr>
                  <w:tcW w:w="1170" w:type="dxa"/>
                  <w:vAlign w:val="center"/>
                </w:tcPr>
                <w:p w14:paraId="18A7B5A3" w14:textId="674FD123" w:rsidR="00C810B7" w:rsidRDefault="00C810B7" w:rsidP="00650BF4">
                  <w:pPr>
                    <w:jc w:val="center"/>
                  </w:pPr>
                </w:p>
              </w:tc>
              <w:tc>
                <w:tcPr>
                  <w:tcW w:w="2970" w:type="dxa"/>
                  <w:vAlign w:val="center"/>
                </w:tcPr>
                <w:p w14:paraId="74EFFACA" w14:textId="4C7D8F9B"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24176F82" w:rsidR="00C810B7" w:rsidRDefault="00626DC3" w:rsidP="00650BF4">
                  <w:pPr>
                    <w:jc w:val="center"/>
                  </w:pPr>
                  <w:r>
                    <w:t>2</w:t>
                  </w:r>
                  <w:r w:rsidR="00C60A47">
                    <w:t>,9</w:t>
                  </w:r>
                  <w:r w:rsidR="00943BFC">
                    <w:t>50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DE1CF" w14:textId="77777777" w:rsidR="00FE7BC0" w:rsidRDefault="00FE7BC0">
      <w:r>
        <w:separator/>
      </w:r>
    </w:p>
  </w:endnote>
  <w:endnote w:type="continuationSeparator" w:id="0">
    <w:p w14:paraId="58F598D5" w14:textId="77777777" w:rsidR="00FE7BC0" w:rsidRDefault="00FE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2E85F" w14:textId="77777777" w:rsidR="00FE7BC0" w:rsidRDefault="00FE7BC0">
      <w:r>
        <w:separator/>
      </w:r>
    </w:p>
  </w:footnote>
  <w:footnote w:type="continuationSeparator" w:id="0">
    <w:p w14:paraId="6FBE7566" w14:textId="77777777" w:rsidR="00FE7BC0" w:rsidRDefault="00FE7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1C0E9E"/>
    <w:rsid w:val="00206A23"/>
    <w:rsid w:val="00211DD3"/>
    <w:rsid w:val="002E0497"/>
    <w:rsid w:val="002F376F"/>
    <w:rsid w:val="00350631"/>
    <w:rsid w:val="003C0B88"/>
    <w:rsid w:val="003E03A0"/>
    <w:rsid w:val="00465E49"/>
    <w:rsid w:val="00473A15"/>
    <w:rsid w:val="00476F42"/>
    <w:rsid w:val="004857D7"/>
    <w:rsid w:val="00486A87"/>
    <w:rsid w:val="004B3C80"/>
    <w:rsid w:val="005056D9"/>
    <w:rsid w:val="00530875"/>
    <w:rsid w:val="00553A29"/>
    <w:rsid w:val="0056056E"/>
    <w:rsid w:val="00575403"/>
    <w:rsid w:val="005A5FBC"/>
    <w:rsid w:val="005E6081"/>
    <w:rsid w:val="00613213"/>
    <w:rsid w:val="00626DC3"/>
    <w:rsid w:val="00671A96"/>
    <w:rsid w:val="00721F83"/>
    <w:rsid w:val="00722752"/>
    <w:rsid w:val="00761F0A"/>
    <w:rsid w:val="0077033C"/>
    <w:rsid w:val="0079797F"/>
    <w:rsid w:val="007B5CD5"/>
    <w:rsid w:val="007B7F9D"/>
    <w:rsid w:val="007C58FC"/>
    <w:rsid w:val="00840E8F"/>
    <w:rsid w:val="00855405"/>
    <w:rsid w:val="00893A54"/>
    <w:rsid w:val="008A5B1F"/>
    <w:rsid w:val="0091140D"/>
    <w:rsid w:val="0092673E"/>
    <w:rsid w:val="00943BFC"/>
    <w:rsid w:val="00951E80"/>
    <w:rsid w:val="00990235"/>
    <w:rsid w:val="009B52CE"/>
    <w:rsid w:val="00A14461"/>
    <w:rsid w:val="00AC27D3"/>
    <w:rsid w:val="00AD1663"/>
    <w:rsid w:val="00AE1A71"/>
    <w:rsid w:val="00B4384A"/>
    <w:rsid w:val="00BA4797"/>
    <w:rsid w:val="00BB7376"/>
    <w:rsid w:val="00C60A47"/>
    <w:rsid w:val="00C67FF7"/>
    <w:rsid w:val="00C810B7"/>
    <w:rsid w:val="00CA265A"/>
    <w:rsid w:val="00CD54BC"/>
    <w:rsid w:val="00D07383"/>
    <w:rsid w:val="00DB6828"/>
    <w:rsid w:val="00DC6E1E"/>
    <w:rsid w:val="00DF4824"/>
    <w:rsid w:val="00E50394"/>
    <w:rsid w:val="00E629D9"/>
    <w:rsid w:val="00E649B2"/>
    <w:rsid w:val="00E85DD3"/>
    <w:rsid w:val="00EA48F7"/>
    <w:rsid w:val="00EC225A"/>
    <w:rsid w:val="00EF04B9"/>
    <w:rsid w:val="00F00D3E"/>
    <w:rsid w:val="00F83374"/>
    <w:rsid w:val="00FC5390"/>
    <w:rsid w:val="00FE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2025-02-21T14:23:00Z</cp:lastPrinted>
  <dcterms:created xsi:type="dcterms:W3CDTF">2025-02-21T14:26:00Z</dcterms:created>
  <dcterms:modified xsi:type="dcterms:W3CDTF">2025-02-25T08:17:00Z</dcterms:modified>
</cp:coreProperties>
</file>