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Architecture Definitions — Index</w:t>
      </w:r>
    </w:p>
    <w:p>
      <w:pPr>
        <w:pStyle w:val="Subtitle"/>
        <w:jc w:val="center"/>
      </w:pPr>
      <w:r>
        <w:t>Pre-MVP architecture document set</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Document set</w:t>
      </w:r>
    </w:p>
    <w:tbl>
      <w:tblPr>
        <w:tblStyle w:val="TableGrid"/>
        <w:tblW w:type="auto" w:w="0"/>
        <w:tblLook w:firstColumn="1" w:firstRow="1" w:lastColumn="0" w:lastRow="0" w:noHBand="0" w:noVBand="1" w:val="04A0"/>
      </w:tblPr>
      <w:tblGrid>
        <w:gridCol w:w="4968"/>
        <w:gridCol w:w="4968"/>
      </w:tblGrid>
      <w:tr>
        <w:tc>
          <w:tcPr>
            <w:tcW w:type="dxa" w:w="4968"/>
            <w:shd w:fill="D9EAF7"/>
          </w:tcPr>
          <w:p>
            <w:r>
              <w:t>File</w:t>
            </w:r>
          </w:p>
        </w:tc>
        <w:tc>
          <w:tcPr>
            <w:tcW w:type="dxa" w:w="4968"/>
            <w:shd w:fill="D9EAF7"/>
          </w:tcPr>
          <w:p>
            <w:r>
              <w:t>Role</w:t>
            </w:r>
          </w:p>
        </w:tc>
      </w:tr>
      <w:tr>
        <w:tc>
          <w:tcPr>
            <w:tcW w:type="dxa" w:w="4968"/>
          </w:tcPr>
          <w:p>
            <w:r>
              <w:t>01_Starlight_Technology_Stack_and_Architecture.docx</w:t>
            </w:r>
          </w:p>
        </w:tc>
        <w:tc>
          <w:tcPr>
            <w:tcW w:type="dxa" w:w="4968"/>
          </w:tcPr>
          <w:p>
            <w:r>
              <w:t>Stack, boundaries, IPC and platform capabilities</w:t>
            </w:r>
          </w:p>
        </w:tc>
      </w:tr>
      <w:tr>
        <w:tc>
          <w:tcPr>
            <w:tcW w:type="dxa" w:w="4968"/>
          </w:tcPr>
          <w:p>
            <w:r>
              <w:t>02_Starlight_Editor_Layout_and_Development_Player.docx</w:t>
            </w:r>
          </w:p>
        </w:tc>
        <w:tc>
          <w:tcPr>
            <w:tcW w:type="dxa" w:w="4968"/>
          </w:tcPr>
          <w:p>
            <w:r>
              <w:t>Authoring renderer, safe preview and external Player</w:t>
            </w:r>
          </w:p>
        </w:tc>
      </w:tr>
      <w:tr>
        <w:tc>
          <w:tcPr>
            <w:tcW w:type="dxa" w:w="4968"/>
          </w:tcPr>
          <w:p>
            <w:r>
              <w:t>03_Starlight_Project_Resource_and_Build_Pipeline.docx</w:t>
            </w:r>
          </w:p>
        </w:tc>
        <w:tc>
          <w:tcPr>
            <w:tcW w:type="dxa" w:w="4968"/>
          </w:tcPr>
          <w:p>
            <w:r>
              <w:t>Transactional persistence, build graph and export</w:t>
            </w:r>
          </w:p>
        </w:tc>
      </w:tr>
      <w:tr>
        <w:tc>
          <w:tcPr>
            <w:tcW w:type="dxa" w:w="4968"/>
          </w:tcPr>
          <w:p>
            <w:r>
              <w:t>04_Starlight_Asset_GUIDs_and_Asset_Database.docx</w:t>
            </w:r>
          </w:p>
        </w:tc>
        <w:tc>
          <w:tcPr>
            <w:tcW w:type="dxa" w:w="4968"/>
          </w:tcPr>
          <w:p>
            <w:r>
              <w:t>Canonical sidecars, asset identity and recovery</w:t>
            </w:r>
          </w:p>
        </w:tc>
      </w:tr>
      <w:tr>
        <w:tc>
          <w:tcPr>
            <w:tcW w:type="dxa" w:w="4968"/>
          </w:tcPr>
          <w:p>
            <w:r>
              <w:t>05_Starlight_Project_Model.docx</w:t>
            </w:r>
          </w:p>
        </w:tc>
        <w:tc>
          <w:tcPr>
            <w:tcW w:type="dxa" w:w="4968"/>
          </w:tcPr>
          <w:p>
            <w:r>
              <w:t>Object composition, Families, Instances and runtime projection</w:t>
            </w:r>
          </w:p>
        </w:tc>
      </w:tr>
      <w:tr>
        <w:tc>
          <w:tcPr>
            <w:tcW w:type="dxa" w:w="4968"/>
          </w:tcPr>
          <w:p>
            <w:r>
              <w:t>06_Starlight_File_Formats_and_Metadata_Contracts.docx</w:t>
            </w:r>
          </w:p>
        </w:tc>
        <w:tc>
          <w:tcPr>
            <w:tcW w:type="dxa" w:w="4968"/>
          </w:tcPr>
          <w:p>
            <w:r>
              <w:t>Envelopes, identity policies, schemas and JSON examples</w:t>
            </w:r>
          </w:p>
        </w:tc>
      </w:tr>
      <w:tr>
        <w:tc>
          <w:tcPr>
            <w:tcW w:type="dxa" w:w="4968"/>
          </w:tcPr>
          <w:p>
            <w:r>
              <w:t>07_Starlight_Level_Editor_and_Tile_Rule_System.docx</w:t>
            </w:r>
          </w:p>
        </w:tc>
        <w:tc>
          <w:tcPr>
            <w:tcW w:type="dxa" w:w="4968"/>
          </w:tcPr>
          <w:p>
            <w:r>
              <w:t>Native Level Editor, chunks and tile rules</w:t>
            </w:r>
          </w:p>
        </w:tc>
      </w:tr>
      <w:tr>
        <w:tc>
          <w:tcPr>
            <w:tcW w:type="dxa" w:w="4968"/>
          </w:tcPr>
          <w:p>
            <w:r>
              <w:t>08_Starlight_Addon_Plugin_and_Behavior_Architecture.docx</w:t>
            </w:r>
          </w:p>
        </w:tc>
        <w:tc>
          <w:tcPr>
            <w:tcW w:type="dxa" w:w="4968"/>
          </w:tcPr>
          <w:p>
            <w:r>
              <w:t>Addon trust, capability contracts and portable SDK</w:t>
            </w:r>
          </w:p>
        </w:tc>
      </w:tr>
      <w:tr>
        <w:tc>
          <w:tcPr>
            <w:tcW w:type="dxa" w:w="4968"/>
          </w:tcPr>
          <w:p>
            <w:r>
              <w:t>09_Starlight_Event_Sheet_and_CSharp_Compilation_Pipeline.docx</w:t>
            </w:r>
          </w:p>
        </w:tc>
        <w:tc>
          <w:tcPr>
            <w:tcW w:type="dxa" w:w="4968"/>
          </w:tcPr>
          <w:p>
            <w:r>
              <w:t>Typed compiler, selections, triggers and source diagnostics</w:t>
            </w:r>
          </w:p>
        </w:tc>
      </w:tr>
    </w:tbl>
    <w:p>
      <w:pPr>
        <w:pStyle w:val="Heading1"/>
      </w:pPr>
      <w:r>
        <w:t>Reading order</w:t>
      </w:r>
    </w:p>
    <w:p>
      <w:pPr>
        <w:pStyle w:val="ListNumber"/>
      </w:pPr>
      <w:r>
        <w:t>Technology Stack &amp; Architecture</w:t>
      </w:r>
    </w:p>
    <w:p>
      <w:pPr>
        <w:pStyle w:val="ListNumber"/>
      </w:pPr>
      <w:r>
        <w:t>Editor, Layout &amp; Development Player</w:t>
      </w:r>
    </w:p>
    <w:p>
      <w:pPr>
        <w:pStyle w:val="ListNumber"/>
      </w:pPr>
      <w:r>
        <w:t>Project Resource &amp; Build Pipeline</w:t>
      </w:r>
    </w:p>
    <w:p>
      <w:pPr>
        <w:pStyle w:val="ListNumber"/>
      </w:pPr>
      <w:r>
        <w:t>Asset GUIDs &amp; Asset Database</w:t>
      </w:r>
    </w:p>
    <w:p>
      <w:pPr>
        <w:pStyle w:val="ListNumber"/>
      </w:pPr>
      <w:r>
        <w:t>Project Model</w:t>
      </w:r>
    </w:p>
    <w:p>
      <w:pPr>
        <w:pStyle w:val="ListNumber"/>
      </w:pPr>
      <w:r>
        <w:t>File Formats &amp; Metadata Contracts</w:t>
      </w:r>
    </w:p>
    <w:p>
      <w:pPr>
        <w:pStyle w:val="ListNumber"/>
      </w:pPr>
      <w:r>
        <w:t>Level Editor &amp; Tile Rule System</w:t>
      </w:r>
    </w:p>
    <w:p>
      <w:pPr>
        <w:pStyle w:val="ListNumber"/>
      </w:pPr>
      <w:r>
        <w:t>Addon/Plugin/Behavior Architecture</w:t>
      </w:r>
    </w:p>
    <w:p>
      <w:pPr>
        <w:pStyle w:val="ListNumber"/>
      </w:pPr>
      <w:r>
        <w:t>Event Sheet &amp; C# Compilation Pipeline</w:t>
      </w:r>
    </w:p>
    <w:p>
      <w:pPr>
        <w:pStyle w:val="Heading1"/>
      </w:pPr>
      <w:r>
        <w:t>How these documents will be used</w:t>
      </w:r>
    </w:p>
    <w:p>
      <w:r>
        <w:t>These definitions are intended to become the architectural inputs for the future project.md and mvp.md. project.md should summarize and link the stable contracts; mvp.md should select the smallest implementable subset without redefining the architecture.</w:t>
      </w:r>
    </w:p>
    <w:p>
      <w:pPr>
        <w:pStyle w:val="Heading1"/>
      </w:pPr>
      <w:r>
        <w:t>Decision hierarchy</w:t>
      </w:r>
    </w:p>
    <w:p>
      <w:r>
        <w:t>Authority order: Objetivos com a engine.md for functional intent; Questões em Aberto - Decisões.md for expressly approved architecture; documents 00–09 for technical contracts; the three studies for research only; agent instructions for subordinate implementation guidance. File modification dates do not decide precedence. An unresolved conflict must be identified, not silently resolved by a later timestamp.</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ADR-SL-001, ADR-SL-002, ADR-SL-003, ADR-SL-004, ADR-SL-005, ADR-SL-006, ADR-SL-007, ADR-SL-008, ADR-SL-009, ADR-SL-010, ADR-SL-011, ADR-SL-012, ADR-SL-013, ADR-SL-014, ADR-SL-015, ADR-SL-016, ADR-SL-017, ADR-SL-018, ADR-SL-019, ADR-SL-020, ADR-SL-021, ADR-SL-022. New candidate ADRs below do not amend the approved decisions.</w:t>
      </w:r>
    </w:p>
    <w:p>
      <w:pPr>
        <w:pStyle w:val="Heading1"/>
      </w:pPr>
      <w:r>
        <w:t>Entry point and maintenance</w:t>
      </w:r>
    </w:p>
    <w:p>
      <w:r>
        <w:t>This set is the reference for agents implementing Starlight incrementally. Read the objectives and all 22 approved ADRs before following implementation examples. Research recommendations do not override approved choices, even where a study proposes an Event VM, in-process gameplay preview, or MonoGame types in public contracts.</w:t>
      </w:r>
    </w:p>
    <w:p>
      <w:r>
        <w:t>In the future repository, these documents, the objectives, decision register and agent instructions will be maintained under docs/ at the repository root. No files are moved by this review; the repository trees in document 01 are proposals, not a statement that projects already exist.</w:t>
      </w:r>
    </w:p>
    <w:p>
      <w:r>
        <w:t>project.md will describe and link approved architecture. mvp.md will plan milestones from the approved scope. Neither file is created by this review. Proposed features may appear as decision gates, never as silently approved requirements.</w:t>
      </w:r>
    </w:p>
    <w:p>
      <w:pPr>
        <w:pStyle w:val="Heading1"/>
      </w:pPr>
      <w:r>
        <w:t>Contract locator</w:t>
      </w:r>
    </w:p>
    <w:p>
      <w:r>
        <w:t>Editor stack and sidecar: 01 sections 1 and IPC lifecycle; authoring rendering: 02 Editorial rendering contract. Durability and build: 03 Transactional persistence and Build keys. Asset moves and identity recovery: 04 Recovery cases. Serialized identity and envelope: 06 Identity policy and Envelope applicability.</w:t>
      </w:r>
    </w:p>
    <w:p>
      <w:r>
        <w:t>Object-Ref, Family, Container, Instance and overrides: 05 Composition and Resolution. Portable FrameTime and phases: 05 Runtime phases. ACEs and addon trust: 08. Event AST, selection, collision queue and source mapping: 09. Native Levels and auto-tiling MVP: 07.</w:t>
      </w:r>
    </w:p>
    <w:p>
      <w:r>
        <w:t>Proposals: candidate ADR-SL-023 renderer in 02; ADR-SL-024 advanced composition in 05; ADR-SL-025 trigger delivery and loop cadence in 09; ADR-SL-026 envelope edge cases in 06; ADR-SL-027 selection edge cases in 09. All remain Proposed / Pending Approval. The audit report catalogs them but has no higher normative authority.</w:t>
      </w:r>
    </w:p>
    <w:p>
      <w:pPr>
        <w:pStyle w:val="Heading1"/>
      </w:pPr>
      <w:r>
        <w:t>Product intent and CSharp</w:t>
      </w:r>
    </w:p>
    <w:p>
      <w:r>
        <w:t>Construct-derived authoring requirements remain product intent: object picking, containers, layers, variables, includes and functions must be represented in Starlight. References to JavaScript, runtime.callFunction, Construct syntax or addon binaries are not a requirement to embed a JavaScript gameplay runtime or support binary-compatible Construct plugins. C# scripts and Event Sheets share typed Starlight APIs and the CapabilityRegistry (ADR-SL-009); textual operator syntax follows the typed C#-style expression contract, with explicit conversions rather than accidental Construct coercions.</w:t>
      </w:r>
    </w:p>
    <w:p>
      <w:pPr>
        <w:pStyle w:val="Heading1"/>
      </w:pPr>
      <w:r>
        <w:t>Integration milestone for subsequent planning</w:t>
      </w:r>
    </w:p>
    <w:p>
      <w:r>
        <w:t>First end-to-end integration milestone, not the entire MVP: (1) create/save a Starlight project; (2) import a texture and its .meta; (3) index it in Asset Database; (4) create an Object-Ref containing Sprite; (5) place an Instance in a Layout; (6) author a simple input/interaction Event Sheet; (7) validate AST and generate C#; (8) compile a MonoGame Development Player; (9) launch it as a separate process; (10) receive logs and diagnostics in the Editor; (11) export and run a Desktop executable without the Editor. Acceptance evidence must include reopening persisted files, stable GUID after rename, mapped invalid-event diagnostic and independent Release launch. Native Levels, tilesets and 16/47 auto-tiling remain later milestones within the approved MVP. Marketplace, LDtk/Tiled import, interactive stepping, advanced map orientations and 3D are not first-milestone prerequisites.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