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Starlight Editor, Layout Authoring &amp; Development Player</w:t>
      </w:r>
    </w:p>
    <w:p>
      <w:pPr>
        <w:pStyle w:val="Subtitle"/>
        <w:jc w:val="center"/>
      </w:pPr>
      <w:r>
        <w:t>Authoring renderer, non-gameplay preview, incremental development builds and external game execution</w:t>
      </w:r>
    </w:p>
    <w:p>
      <w:pPr>
        <w:jc w:val="center"/>
      </w:pPr>
      <w:r>
        <w:rPr>
          <w:b/>
        </w:rPr>
        <w:t>Starlight Engine Architecture Definition • 5 October 2026</w:t>
      </w:r>
    </w:p>
    <w:p>
      <w:r>
        <w:t>Status: Consolidated against ADR-SL-001 through ADR-SL-022, 14 October 2026. Normative means approved contract or direct clarification of it. Proposed / Pending Approval is not an implementation mandate. Deferred means explicitly outside the current delivery scope. See document 00 and the decision register.</w:t>
      </w:r>
    </w:p>
    <w:p>
      <w:r>
        <w:br w:type="page"/>
      </w:r>
    </w:p>
    <w:p>
      <w:pPr>
        <w:pStyle w:val="Heading1"/>
      </w:pPr>
      <w:r>
        <w:t>1. Core distinction</w:t>
      </w:r>
    </w:p>
    <w:p>
      <w:r>
        <w:t>Normative: the Layout Editor is an authoring scene/room editor comparable in role to Godot’s scene editor or GameMaker’s room editor. It does not execute gameplay. It visualizes authored state and may run editor-safe visual previews such as sprite animation, particles, shaders, screen effects and other explicitly previewable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Mode</w:t>
            </w:r>
          </w:p>
        </w:tc>
        <w:tc>
          <w:tcPr>
            <w:tcW w:type="dxa" w:w="3312"/>
            <w:shd w:fill="D9EAF7"/>
          </w:tcPr>
          <w:p>
            <w:r>
              <w:t>Executes gameplay?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Authoring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Edit layouts, objects, transforms, layers, tilemaps, assets and properties.</w:t>
            </w:r>
          </w:p>
        </w:tc>
      </w:tr>
      <w:tr>
        <w:tc>
          <w:tcPr>
            <w:tcW w:type="dxa" w:w="3312"/>
          </w:tcPr>
          <w:p>
            <w:r>
              <w:t>Visual Preview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Play/pause animation, particles and editor-safe effects without physics/Event Sheet gameplay.</w:t>
            </w:r>
          </w:p>
        </w:tc>
      </w:tr>
      <w:tr>
        <w:tc>
          <w:tcPr>
            <w:tcW w:type="dxa" w:w="3312"/>
          </w:tcPr>
          <w:p>
            <w:r>
              <w:t>Development Player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Run the game in a separately built executable with debugging/development facilities.</w:t>
            </w:r>
          </w:p>
        </w:tc>
      </w:tr>
      <w:tr>
        <w:tc>
          <w:tcPr>
            <w:tcW w:type="dxa" w:w="3312"/>
          </w:tcPr>
          <w:p>
            <w:r>
              <w:t>Release Build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Optimized/package target output.</w:t>
            </w:r>
          </w:p>
        </w:tc>
      </w:tr>
    </w:tbl>
    <w:p>
      <w:pPr>
        <w:pStyle w:val="Heading1"/>
      </w:pPr>
      <w:r>
        <w:t>2. Layout Editor responsibilities</w:t>
      </w:r>
    </w:p>
    <w:p>
      <w:pPr>
        <w:pStyle w:val="ListBullet"/>
      </w:pPr>
      <w:r>
        <w:t>Render sprites, tilemaps, text, editor gizmos, bounds, collision shapes and cameras as authoring representations.</w:t>
      </w:r>
    </w:p>
    <w:p>
      <w:pPr>
        <w:pStyle w:val="ListBullet"/>
      </w:pPr>
      <w:r>
        <w:t>Render animations and particles only when preview is enabled or when an editor component requires it.</w:t>
      </w:r>
    </w:p>
    <w:p>
      <w:pPr>
        <w:pStyle w:val="ListBullet"/>
      </w:pPr>
      <w:r>
        <w:t>Expose layer ordering, z-index, GUI layers, imported/global layers and object hierarchy.</w:t>
      </w:r>
    </w:p>
    <w:p>
      <w:pPr>
        <w:pStyle w:val="ListBullet"/>
      </w:pPr>
      <w:r>
        <w:t>Never become the canonical runtime object graph; it projects the serialized Project Model.</w:t>
      </w:r>
    </w:p>
    <w:p>
      <w:pPr>
        <w:pStyle w:val="ListBullet"/>
      </w:pPr>
      <w:r>
        <w:t>Never silently execute user C# scripts, Event Sheet actions, physics or AI while merely editing a layout.</w:t>
      </w:r>
    </w:p>
    <w:p>
      <w:pPr>
        <w:pStyle w:val="Heading1"/>
      </w:pPr>
      <w:r>
        <w:t>3. Editor-safe preview contract</w:t>
      </w:r>
    </w:p>
    <w:p>
      <w:r>
        <w:t>A component/addon may declare an EditorPreview capability as metadata. This is not permission to execute its DLL or arbitrary script. Only explicitly supported safe preview representations are evaluated; unsupported implementations use a fallback. Preview state is isolated, disposable, bounded and restartable, and is never serialized as gameplay state (ADR-SL-021; detailed contract below).</w:t>
      </w:r>
    </w:p>
    <w:p>
      <w:pPr>
        <w:pStyle w:val="Heading1"/>
      </w:pPr>
      <w:r>
        <w:t>4. Development Player</w:t>
      </w:r>
    </w:p>
    <w:p>
      <w:r>
        <w:t>The Development Player is a real MonoGame-backed game executable produced through an incremental build optimized for iteration speed rather than final distribution quality.</w:t>
      </w:r>
    </w:p>
    <w:p>
      <w:pPr>
        <w:ind w:left="360" w:right="216"/>
      </w:pPr>
      <w:r>
        <w:rPr>
          <w:rFonts w:ascii="Consolas" w:hAnsi="Consolas"/>
          <w:sz w:val="17"/>
        </w:rPr>
        <w:t>Save / Run</w:t>
        <w:br/>
        <w:t xml:space="preserve">  ↓</w:t>
        <w:br/>
        <w:t>Dirty-set detection</w:t>
        <w:br/>
        <w:t xml:space="preserve">  ├─ changed project data</w:t>
        <w:br/>
        <w:t xml:space="preserve">  ├─ changed Event Sheets</w:t>
        <w:br/>
        <w:t xml:space="preserve">  ├─ changed C#</w:t>
        <w:br/>
        <w:t xml:space="preserve">  ├─ changed assets</w:t>
        <w:br/>
        <w:t xml:space="preserve">  └─ changed addons</w:t>
        <w:br/>
        <w:t xml:space="preserve">  ↓</w:t>
        <w:br/>
        <w:t>Incremental generation/import/compile</w:t>
        <w:br/>
        <w:t xml:space="preserve">  ↓</w:t>
        <w:br/>
        <w:t>Development Player executable</w:t>
        <w:br/>
        <w:t xml:space="preserve">  ↓</w:t>
        <w:br/>
        <w:t>External process + debug/editor protocol</w:t>
      </w:r>
    </w:p>
    <w:p>
      <w:pPr>
        <w:pStyle w:val="Heading1"/>
      </w:pPr>
      <w:r>
        <w:t>5. Development vs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Concern</w:t>
            </w:r>
          </w:p>
        </w:tc>
        <w:tc>
          <w:tcPr>
            <w:tcW w:type="dxa" w:w="3312"/>
            <w:shd w:fill="D9EAF7"/>
          </w:tcPr>
          <w:p>
            <w:r>
              <w:t>Development</w:t>
            </w:r>
          </w:p>
        </w:tc>
        <w:tc>
          <w:tcPr>
            <w:tcW w:type="dxa" w:w="3312"/>
            <w:shd w:fill="D9EAF7"/>
          </w:tcPr>
          <w:p>
            <w:r>
              <w:t>Release</w:t>
            </w:r>
          </w:p>
        </w:tc>
      </w:tr>
      <w:tr>
        <w:tc>
          <w:tcPr>
            <w:tcW w:type="dxa" w:w="3312"/>
          </w:tcPr>
          <w:p>
            <w:r>
              <w:t>Compilation</w:t>
            </w:r>
          </w:p>
        </w:tc>
        <w:tc>
          <w:tcPr>
            <w:tcW w:type="dxa" w:w="3312"/>
          </w:tcPr>
          <w:p>
            <w:r>
              <w:t>Incremental / fast</w:t>
            </w:r>
          </w:p>
        </w:tc>
        <w:tc>
          <w:tcPr>
            <w:tcW w:type="dxa" w:w="3312"/>
          </w:tcPr>
          <w:p>
            <w:r>
              <w:t>Full target build</w:t>
            </w:r>
          </w:p>
        </w:tc>
      </w:tr>
      <w:tr>
        <w:tc>
          <w:tcPr>
            <w:tcW w:type="dxa" w:w="3312"/>
          </w:tcPr>
          <w:p>
            <w:r>
              <w:t>Symbols</w:t>
            </w:r>
          </w:p>
        </w:tc>
        <w:tc>
          <w:tcPr>
            <w:tcW w:type="dxa" w:w="3312"/>
          </w:tcPr>
          <w:p>
            <w:r>
              <w:t>Enabled</w:t>
            </w:r>
          </w:p>
        </w:tc>
        <w:tc>
          <w:tcPr>
            <w:tcW w:type="dxa" w:w="3312"/>
          </w:tcPr>
          <w:p>
            <w:r>
              <w:t>Policy/target dependent</w:t>
            </w:r>
          </w:p>
        </w:tc>
      </w:tr>
      <w:tr>
        <w:tc>
          <w:tcPr>
            <w:tcW w:type="dxa" w:w="3312"/>
          </w:tcPr>
          <w:p>
            <w:r>
              <w:t>Assets</w:t>
            </w:r>
          </w:p>
        </w:tc>
        <w:tc>
          <w:tcPr>
            <w:tcW w:type="dxa" w:w="3312"/>
          </w:tcPr>
          <w:p>
            <w:r>
              <w:t>Loose or minimally processed where safe</w:t>
            </w:r>
          </w:p>
        </w:tc>
        <w:tc>
          <w:tcPr>
            <w:tcW w:type="dxa" w:w="3312"/>
          </w:tcPr>
          <w:p>
            <w:r>
              <w:t>Target-processed and packaged</w:t>
            </w:r>
          </w:p>
        </w:tc>
      </w:tr>
      <w:tr>
        <w:tc>
          <w:tcPr>
            <w:tcW w:type="dxa" w:w="3312"/>
          </w:tcPr>
          <w:p>
            <w:r>
              <w:t>Optimization</w:t>
            </w:r>
          </w:p>
        </w:tc>
        <w:tc>
          <w:tcPr>
            <w:tcW w:type="dxa" w:w="3312"/>
          </w:tcPr>
          <w:p>
            <w:r>
              <w:t>Low/moderate</w:t>
            </w:r>
          </w:p>
        </w:tc>
        <w:tc>
          <w:tcPr>
            <w:tcW w:type="dxa" w:w="3312"/>
          </w:tcPr>
          <w:p>
            <w:r>
              <w:t>Target appropriate</w:t>
            </w:r>
          </w:p>
        </w:tc>
      </w:tr>
      <w:tr>
        <w:tc>
          <w:tcPr>
            <w:tcW w:type="dxa" w:w="3312"/>
          </w:tcPr>
          <w:p>
            <w:r>
              <w:t>Diagnostics</w:t>
            </w:r>
          </w:p>
        </w:tc>
        <w:tc>
          <w:tcPr>
            <w:tcW w:type="dxa" w:w="3312"/>
          </w:tcPr>
          <w:p>
            <w:r>
              <w:t>Rich</w:t>
            </w:r>
          </w:p>
        </w:tc>
        <w:tc>
          <w:tcPr>
            <w:tcW w:type="dxa" w:w="3312"/>
          </w:tcPr>
          <w:p>
            <w:r>
              <w:t>Reduced</w:t>
            </w:r>
          </w:p>
        </w:tc>
      </w:tr>
      <w:tr>
        <w:tc>
          <w:tcPr>
            <w:tcW w:type="dxa" w:w="3312"/>
          </w:tcPr>
          <w:p>
            <w:r>
              <w:t>Editor protocol</w:t>
            </w:r>
          </w:p>
        </w:tc>
        <w:tc>
          <w:tcPr>
            <w:tcW w:type="dxa" w:w="3312"/>
          </w:tcPr>
          <w:p>
            <w:r>
              <w:t>Allowed</w:t>
            </w:r>
          </w:p>
        </w:tc>
        <w:tc>
          <w:tcPr>
            <w:tcW w:type="dxa" w:w="3312"/>
          </w:tcPr>
          <w:p>
            <w:r>
              <w:t>Excluded by default</w:t>
            </w:r>
          </w:p>
        </w:tc>
      </w:tr>
      <w:tr>
        <w:tc>
          <w:tcPr>
            <w:tcW w:type="dxa" w:w="3312"/>
          </w:tcPr>
          <w:p>
            <w:r>
              <w:t>AOT/trimming</w:t>
            </w:r>
          </w:p>
        </w:tc>
        <w:tc>
          <w:tcPr>
            <w:tcW w:type="dxa" w:w="3312"/>
          </w:tcPr>
          <w:p>
            <w:r>
              <w:t>Avoid unless target requires</w:t>
            </w:r>
          </w:p>
        </w:tc>
        <w:tc>
          <w:tcPr>
            <w:tcW w:type="dxa" w:w="3312"/>
          </w:tcPr>
          <w:p>
            <w:r>
              <w:t>Target dependent</w:t>
            </w:r>
          </w:p>
        </w:tc>
      </w:tr>
    </w:tbl>
    <w:p>
      <w:pPr>
        <w:pStyle w:val="Heading1"/>
      </w:pPr>
      <w:r>
        <w:t>6. Editor ↔ Development Player protocol</w:t>
      </w:r>
    </w:p>
    <w:p>
      <w:pPr>
        <w:pStyle w:val="ListBullet"/>
      </w:pPr>
      <w:r>
        <w:t>Launch/stop/restart and process status.</w:t>
      </w:r>
    </w:p>
    <w:p>
      <w:pPr>
        <w:pStyle w:val="ListBullet"/>
      </w:pPr>
      <w:r>
        <w:t>Open layout/start scene selection.</w:t>
      </w:r>
    </w:p>
    <w:p>
      <w:pPr>
        <w:pStyle w:val="ListBullet"/>
      </w:pPr>
      <w:r>
        <w:t>Structured logs and diagnostics.</w:t>
      </w:r>
    </w:p>
    <w:p>
      <w:pPr>
        <w:pStyle w:val="ListBullet"/>
      </w:pPr>
      <w:r>
        <w:t>Optional object inspection and breakpoint/event debugging later.</w:t>
      </w:r>
    </w:p>
    <w:p>
      <w:pPr>
        <w:pStyle w:val="ListBullet"/>
      </w:pPr>
      <w:r>
        <w:t>ADR-SL-013: Live Reload for textures, audio and simple safe Inspector properties; validate compatibility and apply at a safe boundary. Code, Event Sheet structure and plugin assembly changes use incremental compilation plus Fast Restart in the MVP, without AssemblyLoadContext gameplay reload.</w:t>
      </w:r>
    </w:p>
    <w:p>
      <w:pPr>
        <w:pStyle w:val="ListBullet"/>
      </w:pPr>
      <w:r>
        <w:t>Protocol is development-only and absent from normal release startup.</w:t>
      </w:r>
    </w:p>
    <w:p>
      <w:pPr>
        <w:pStyle w:val="Heading1"/>
      </w:pPr>
      <w:r>
        <w:t>7. MVP boundary</w:t>
      </w:r>
    </w:p>
    <w:p>
      <w:r>
        <w:t>For MVP, a separate Development Player window/process is required by ADR-SL-012. Embedding the MonoGame surface inside Tauri is explicitly not required. This avoids coupling editor windowing/WebView behavior to runtime graphics initialization.</w:t>
      </w:r>
    </w:p>
    <w:p>
      <w:pPr>
        <w:pStyle w:val="Heading1"/>
      </w:pPr>
      <w:r>
        <w:t>Basis and relationship to prior studies</w:t>
      </w:r>
    </w:p>
    <w:p>
      <w:r>
        <w:t>This document turns previously studied architecture and the current Starlight objectives into a project-specific contract. The studies are references, not implementation dependencies: Starlight keeps its own project model and runtime boundaries.</w:t>
      </w:r>
    </w:p>
    <w:p>
      <w:pPr>
        <w:pStyle w:val="ListBullet"/>
      </w:pPr>
      <w:r>
        <w:t>Engine objectives: Objetivos com a engine.md</w:t>
      </w:r>
    </w:p>
    <w:p>
      <w:pPr>
        <w:pStyle w:val="ListBullet"/>
      </w:pPr>
      <w:r>
        <w:t>MonoGame study: MonoGame_Runtime_Architecture_Study_for_Starlight_Engine.docx</w:t>
      </w:r>
    </w:p>
    <w:p>
      <w:pPr>
        <w:pStyle w:val="ListBullet"/>
      </w:pPr>
      <w:r>
        <w:t>FlatRedBall/Gum study: FlatRedBall_Gum_Architecture_Study_for_Starlight_Engine.docx</w:t>
      </w:r>
    </w:p>
    <w:p>
      <w:pPr>
        <w:pStyle w:val="ListBullet"/>
      </w:pPr>
      <w:r>
        <w:t>GDevelop/Construct study: GDevelop5_Construct3_Architecture_Study_for_Starlight_Engi.docx</w:t>
      </w:r>
    </w:p>
    <w:p>
      <w:pPr>
        <w:pStyle w:val="Heading1"/>
      </w:pPr>
      <w:r>
        <w:t>Applicable architectural decisions</w:t>
      </w:r>
    </w:p>
    <w:p>
      <w:r>
        <w:t>Normative authority: Questões em Aberto - Decisões.md. This document develops ADR-SL-001, ADR-SL-002, ADR-SL-012, ADR-SL-013, ADR-SL-014, ADR-SL-021. New candidate ADRs below do not amend the approved decisions.</w:t>
      </w:r>
    </w:p>
    <w:p>
      <w:pPr>
        <w:pStyle w:val="Heading1"/>
      </w:pPr>
      <w:r>
        <w:t>Editorial rendering contract</w:t>
      </w:r>
    </w:p>
    <w:p>
      <w:r>
        <w:t>Normative separation: Layout Editor authors the ProjectModel without gameplay. Visual Preview evaluates supported visual state only. Development Player executes real MonoGame gameplay in a separate executable. Release runs independently of the editor. Authoring success must not require initialization of a Game or GraphicsDevice.</w:t>
      </w:r>
    </w:p>
    <w:p>
      <w:r>
        <w:t>The editorial renderer accepts a versioned immutable scene projection: persistent instance/component IDs, resolved local/world transforms, layer order and z-index, sprite atlas regions, portable material/preview descriptors, tile data, gizmo and collider/camera representations. Asset data is obtained by GUID and content revision. It produces pixels, hit-test IDs and a supported/approximate/unsupported diagnostic per representation. Edit gestures return commands to the Host; renderer state never becomes project truth.</w:t>
      </w:r>
    </w:p>
    <w:p>
      <w:r>
        <w:t>Progressive capability plan: sprites and atlases; layers/stable visual ordering; camera zoom/pan, grid/snapping and transform gizmos; tilemaps; deterministic sprite animation sampling; bounded particle preview; compatible visual-effect preview; collider, camera and nonvisual component overlays. Each capability has an explicit supported subset and fallback, rather than implying all features belong to the first integration milestone.</w:t>
      </w:r>
    </w:p>
    <w:p>
      <w:r>
        <w:t>Preview has its own clock, seed and resource budget; Pause/Reset, focus loss and document closure stop or discard it. It cannot dispatch ACE gameplay actions, Event Sheets, physics simulation, network/file side effects or arbitrary user/addon C#. Declarative metadata is validated before allocating resources. Execution of third-party preview modules needs a future explicit trust/isolation contract; a capability flag or separate process alone is not a security sandbox.</w:t>
      </w:r>
    </w:p>
    <w:p>
      <w:r>
        <w:t>MGFX shaders are not assumed executable by WebGL. Platform effects and C# addon renderers need an independent editorial representation. Blending, premultiplied alpha, color space, sampling, render targets and composition may differ from MonoGame; authoring preview is not pixel-equivalence proof. Unsupported effects render the base sprite/material with an explicit warning; missing visual assets use a selectable placeholder and bounds; nonvisual components use icons/gizmos. Never hide an object or silently claim fidelity. Use Development Player for actual runtime verification.</w:t>
      </w:r>
    </w:p>
    <w:p>
      <w:pPr>
        <w:pStyle w:val="Heading1"/>
      </w:pPr>
      <w:r>
        <w:t>Candidate ADR SL 023 renderer selection</w:t>
      </w:r>
    </w:p>
    <w:p>
      <w:r>
        <w:t>Status: Proposed / Pending Approval. Recommend a PixiJS/WebGL prototype behind the editorial interface because its sprite and scene rendering model fits a web UI. Alternatives: a custom WebGL renderer (more control, more maintenance) or a separate native rendering service (potential fidelity, more IPC and device complexity). None is selected normatively by ADR-SL-001.</w:t>
      </w:r>
    </w:p>
    <w:p>
      <w:r>
        <w:t>Validation activity before selection: prototype atlas/sampling, layer order, zoom/pan, hit testing, tile chunks, gizmos, animation and bounded particles in Tauri WebView; compare representative scenes with MonoGame and record mismatches, memory, startup, input latency and context-loss recovery on supported Desktop targets. Shader translation and arbitrary C# execution are not assumed prototype capabilities. Report supported effects and fallback behavior before approving a backend.</w:t>
      </w:r>
    </w:p>
    <w:p>
      <w:pPr>
        <w:pStyle w:val="Heading1"/>
      </w:pPr>
      <w:r>
        <w:t>Player lifecycle and development protocol</w:t>
      </w:r>
    </w:p>
    <w:p>
      <w:r>
        <w:t>ADR-SL-012/013/014: Host builds and launches the Player, tracks its PID/build ID and uses a distinct RuntimeDebugProtocol session with token, version, project ID and build/source-map hash. The UI-to-Host protocol is not the Player protocol. Reject stale patches and diagnostics from an earlier build; map structured logs, exceptions and compile errors to SourceId through 09.</w:t>
      </w:r>
    </w:p>
    <w:p>
      <w:r>
        <w:t>Live Reload acknowledges a specific asset/property revision; incompatible reload falls back to Fast Restart with a diagnostic. Restart terminates the prior process, compiles dirty logic and launches a fresh game; it does not promise preservation of runtime state or absolute crash immunity. Closing the editor stops its development child by default. Interactive stepping remains post-MVP; logs, compile diagnostics and exception highlighting are included. Release excludes this development transport.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