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Starlight Asset GUIDs &amp; Asset Database</w:t>
      </w:r>
    </w:p>
    <w:p>
      <w:pPr>
        <w:pStyle w:val="Subtitle"/>
        <w:jc w:val="center"/>
      </w:pPr>
      <w:r>
        <w:t>Stable identity, references, import records, dependency tracking and move/rename safety</w:t>
      </w:r>
    </w:p>
    <w:p>
      <w:pPr>
        <w:jc w:val="center"/>
      </w:pPr>
      <w:r>
        <w:rPr>
          <w:b/>
        </w:rPr>
        <w:t>Starlight Engine Architecture Definition • 5 October 2026</w:t>
      </w:r>
    </w:p>
    <w:p>
      <w:r>
        <w:t>Status: Consolidated against ADR-SL-001 through ADR-SL-022, 14 October 2026. Normative means approved contract or direct clarification of it. Proposed / Pending Approval is not an implementation mandate. Deferred means explicitly outside the current delivery scope. See document 00 and the decision register.</w:t>
      </w:r>
    </w:p>
    <w:p>
      <w:r>
        <w:br w:type="page"/>
      </w:r>
    </w:p>
    <w:p>
      <w:pPr>
        <w:pStyle w:val="Heading1"/>
      </w:pPr>
      <w:r>
        <w:t>1. Decision</w:t>
      </w:r>
    </w:p>
    <w:p>
      <w:r>
        <w:t>Normative: project resources are referenced by stable IDs rather than filesystem paths. Paths are human organization and source location; IDs are identity. Renaming or moving a resource must not invalidate references when the resource identity is preserved.</w:t>
      </w:r>
    </w:p>
    <w:p>
      <w:pPr>
        <w:pStyle w:val="Heading1"/>
      </w:pPr>
      <w:r>
        <w:t>2. ID classes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ID</w:t>
            </w:r>
          </w:p>
        </w:tc>
        <w:tc>
          <w:tcPr>
            <w:tcW w:type="dxa" w:w="3312"/>
            <w:shd w:fill="D9EAF7"/>
          </w:tcPr>
          <w:p>
            <w:r>
              <w:t>Scope</w:t>
            </w:r>
          </w:p>
        </w:tc>
        <w:tc>
          <w:tcPr>
            <w:tcW w:type="dxa" w:w="3312"/>
            <w:shd w:fill="D9EAF7"/>
          </w:tcPr>
          <w:p>
            <w:r>
              <w:t>Example use</w:t>
            </w:r>
          </w:p>
        </w:tc>
      </w:tr>
      <w:tr>
        <w:tc>
          <w:tcPr>
            <w:tcW w:type="dxa" w:w="3312"/>
          </w:tcPr>
          <w:p>
            <w:r>
              <w:t>Asset GUID</w:t>
            </w:r>
          </w:p>
        </w:tc>
        <w:tc>
          <w:tcPr>
            <w:tcW w:type="dxa" w:w="3312"/>
          </w:tcPr>
          <w:p>
            <w:r>
              <w:t>Project or package stable</w:t>
            </w:r>
          </w:p>
        </w:tc>
        <w:tc>
          <w:tcPr>
            <w:tcW w:type="dxa" w:w="3312"/>
          </w:tcPr>
          <w:p>
            <w:r>
              <w:t>Texture, audio, font, shader, tileset, model.</w:t>
            </w:r>
          </w:p>
        </w:tc>
      </w:tr>
      <w:tr>
        <w:tc>
          <w:tcPr>
            <w:tcW w:type="dxa" w:w="3312"/>
          </w:tcPr>
          <w:p>
            <w:r>
              <w:t>Resource GUID</w:t>
            </w:r>
          </w:p>
        </w:tc>
        <w:tc>
          <w:tcPr>
            <w:tcW w:type="dxa" w:w="3312"/>
          </w:tcPr>
          <w:p>
            <w:r>
              <w:t>Project stable</w:t>
            </w:r>
          </w:p>
        </w:tc>
        <w:tc>
          <w:tcPr>
            <w:tcW w:type="dxa" w:w="3312"/>
          </w:tcPr>
          <w:p>
            <w:r>
              <w:t>Layout, Level, Object-Ref, Event Sheet.</w:t>
            </w:r>
          </w:p>
        </w:tc>
      </w:tr>
      <w:tr>
        <w:tc>
          <w:tcPr>
            <w:tcW w:type="dxa" w:w="3312"/>
          </w:tcPr>
          <w:p>
            <w:r>
              <w:t>Instance UID</w:t>
            </w:r>
          </w:p>
        </w:tc>
        <w:tc>
          <w:tcPr>
            <w:tcW w:type="dxa" w:w="3312"/>
          </w:tcPr>
          <w:p>
            <w:r>
              <w:t>Persistent within its authored owner; separate from runtime EntityId</w:t>
            </w:r>
          </w:p>
        </w:tc>
        <w:tc>
          <w:tcPr>
            <w:tcW w:type="dxa" w:w="3312"/>
          </w:tcPr>
          <w:p>
            <w:r>
              <w:t>Specific placed instance.</w:t>
            </w:r>
          </w:p>
        </w:tc>
      </w:tr>
      <w:tr>
        <w:tc>
          <w:tcPr>
            <w:tcW w:type="dxa" w:w="3312"/>
          </w:tcPr>
          <w:p>
            <w:r>
              <w:t>Addon ID</w:t>
            </w:r>
          </w:p>
        </w:tc>
        <w:tc>
          <w:tcPr>
            <w:tcW w:type="dxa" w:w="3312"/>
          </w:tcPr>
          <w:p>
            <w:r>
              <w:t>Stable package namespace; version identifies a release</w:t>
            </w:r>
          </w:p>
        </w:tc>
        <w:tc>
          <w:tcPr>
            <w:tcW w:type="dxa" w:w="3312"/>
          </w:tcPr>
          <w:p>
            <w:r>
              <w:t>Plugin/Behavior package identity.</w:t>
            </w:r>
          </w:p>
        </w:tc>
      </w:tr>
      <w:tr>
        <w:tc>
          <w:tcPr>
            <w:tcW w:type="dxa" w:w="3312"/>
          </w:tcPr>
          <w:p>
            <w:r>
              <w:t>Member ID</w:t>
            </w:r>
          </w:p>
        </w:tc>
        <w:tc>
          <w:tcPr>
            <w:tcW w:type="dxa" w:w="3312"/>
          </w:tcPr>
          <w:p>
            <w:r>
              <w:t>Schema/addon stable</w:t>
            </w:r>
          </w:p>
        </w:tc>
        <w:tc>
          <w:tcPr>
            <w:tcW w:type="dxa" w:w="3312"/>
          </w:tcPr>
          <w:p>
            <w:r>
              <w:t>Property, action, condition, expression when migration-safe identity is required.</w:t>
            </w:r>
          </w:p>
        </w:tc>
      </w:tr>
    </w:tbl>
    <w:p>
      <w:pPr>
        <w:pStyle w:val="Heading1"/>
      </w:pPr>
      <w:r>
        <w:t>3. Reference shape</w:t>
      </w:r>
    </w:p>
    <w:p>
      <w:pPr>
        <w:ind w:left="360" w:right="216"/>
      </w:pPr>
      <w:r>
        <w:rPr>
          <w:rFonts w:ascii="Consolas" w:hAnsi="Consolas"/>
          <w:sz w:val="17"/>
        </w:rPr>
        <w:t>{</w:t>
        <w:br/>
        <w:t xml:space="preserve">  "asset": "asset:f54d0e9a-5a42-4dd4-9b4f-9a11d61bca62",</w:t>
        <w:br/>
        <w:t xml:space="preserve">  "expectedType": "texture"</w:t>
        <w:br/>
        <w:t>}</w:t>
      </w:r>
    </w:p>
    <w:p>
      <w:r>
        <w:t>The path may be cached/displayed for UX but must not be authoritative. The resolver obtains the current source/import/runtime location from the Asset Database.</w:t>
      </w:r>
    </w:p>
    <w:p>
      <w:pPr>
        <w:pStyle w:val="Heading1"/>
      </w:pPr>
      <w:r>
        <w:t>4. Asset Database record</w:t>
      </w:r>
    </w:p>
    <w:p>
      <w:pPr>
        <w:ind w:left="360" w:right="216"/>
      </w:pPr>
      <w:r>
        <w:rPr>
          <w:rFonts w:ascii="Consolas" w:hAnsi="Consolas"/>
          <w:sz w:val="17"/>
        </w:rPr>
        <w:t>{</w:t>
        <w:br/>
        <w:t xml:space="preserve">  "id": "asset:f54d0e9a-5a42-4dd4-9b4f-9a11d61bca62",</w:t>
        <w:br/>
        <w:t xml:space="preserve">  "type": "texture",</w:t>
        <w:br/>
        <w:t xml:space="preserve">  "source": "Assets/Characters/Player/player.png",</w:t>
        <w:br/>
        <w:t xml:space="preserve">  "importer": "starlight.texture",</w:t>
        <w:br/>
        <w:t xml:space="preserve">  "importerVersion": 1,</w:t>
        <w:br/>
        <w:t xml:space="preserve">  "settings": { "sampling": "point" },</w:t>
        <w:br/>
        <w:t xml:space="preserve">  "dependencies": [],</w:t>
        <w:br/>
        <w:t xml:space="preserve">  "contentHash": "0000000000000000000000000000000000000000000000000000000000000000"</w:t>
        <w:br/>
        <w:t>}</w:t>
      </w:r>
    </w:p>
    <w:p>
      <w:pPr>
        <w:pStyle w:val="Heading1"/>
      </w:pPr>
      <w:r>
        <w:t>5. Move/rename algorithm</w:t>
      </w:r>
    </w:p>
    <w:p>
      <w:pPr>
        <w:pStyle w:val="ListNumber"/>
      </w:pPr>
      <w:r>
        <w:t>Detect filesystem change or editor move operation.</w:t>
      </w:r>
    </w:p>
    <w:p>
      <w:pPr>
        <w:pStyle w:val="ListNumber"/>
      </w:pPr>
      <w:r>
        <w:t>Match preserved metadata/sidecar identity; if unavailable, use controlled recovery heuristics rather than silently minting a new identity.</w:t>
      </w:r>
    </w:p>
    <w:p>
      <w:pPr>
        <w:pStyle w:val="ListNumber"/>
      </w:pPr>
      <w:r>
        <w:t>Update source path in Asset Database.</w:t>
      </w:r>
    </w:p>
    <w:p>
      <w:pPr>
        <w:pStyle w:val="ListNumber"/>
      </w:pPr>
      <w:r>
        <w:t>Keep GUID unchanged.</w:t>
      </w:r>
    </w:p>
    <w:p>
      <w:pPr>
        <w:pStyle w:val="ListNumber"/>
      </w:pPr>
      <w:r>
        <w:t>Invalidate only derived artifacts whose build keys depend on path or source hash.</w:t>
      </w:r>
    </w:p>
    <w:p>
      <w:pPr>
        <w:pStyle w:val="ListNumber"/>
      </w:pPr>
      <w:r>
        <w:t>Notify open documents and refresh display paths.</w:t>
      </w:r>
    </w:p>
    <w:p>
      <w:pPr>
        <w:pStyle w:val="Heading1"/>
      </w:pPr>
      <w:r>
        <w:t>6. Sidecar strategy</w:t>
      </w:r>
    </w:p>
    <w:p>
      <w:r>
        <w:t>Normative — ADR-SL-004: each imported source asset has an adjacent canonical .meta sidecar (player.png.meta). It owns AssetGuid, importer ID/version, settings, content hash and dependencies. The central Asset Database is a derived index/cache rebuilt by scanning sources and sidecars; it cannot replace canonical sidecars or mint replacement identities during ambiguous recovery.</w:t>
      </w:r>
    </w:p>
    <w:p>
      <w:pPr>
        <w:pStyle w:val="Heading1"/>
      </w:pPr>
      <w:r>
        <w:t>7. Duplicate/copy semantics</w:t>
      </w:r>
    </w:p>
    <w:p>
      <w:pPr>
        <w:pStyle w:val="ListBullet"/>
      </w:pPr>
      <w:r>
        <w:t>Move/rename preserves GUID.</w:t>
      </w:r>
    </w:p>
    <w:p>
      <w:pPr>
        <w:pStyle w:val="ListBullet"/>
      </w:pPr>
      <w:r>
        <w:t>Copy creates a new GUID unless explicitly cloning an external package reference.</w:t>
      </w:r>
    </w:p>
    <w:p>
      <w:pPr>
        <w:pStyle w:val="ListBullet"/>
      </w:pPr>
      <w:r>
        <w:t>Importing the same external file twice may create two logical assets if import settings differ.</w:t>
      </w:r>
    </w:p>
    <w:p>
      <w:pPr>
        <w:pStyle w:val="ListBullet"/>
      </w:pPr>
      <w:r>
        <w:t>GUID collision is a hard validation error; never auto-merge unrelated resources.</w:t>
      </w:r>
    </w:p>
    <w:p>
      <w:pPr>
        <w:pStyle w:val="Heading1"/>
      </w:pPr>
      <w:r>
        <w:t>8. Runtime manifest</w:t>
      </w:r>
    </w:p>
    <w:p>
      <w:r>
        <w:t>Release and Development builds emit a target-specific manifest that maps stable IDs to runtime load keys. Runtime code should request resources through Starlight IDs/handles rather than editor paths.</w:t>
      </w:r>
    </w:p>
    <w:p>
      <w:pPr>
        <w:pStyle w:val="Heading1"/>
      </w:pPr>
      <w:r>
        <w:t>9. Version-control and merge requirements</w:t>
      </w:r>
    </w:p>
    <w:p>
      <w:pPr>
        <w:pStyle w:val="ListBullet"/>
      </w:pPr>
      <w:r>
        <w:t>GUID generation must be decentralized and collision-resistant.</w:t>
      </w:r>
    </w:p>
    <w:p>
      <w:pPr>
        <w:pStyle w:val="ListBullet"/>
      </w:pPr>
      <w:r>
        <w:t>Metadata should be text-diffable where practical.</w:t>
      </w:r>
    </w:p>
    <w:p>
      <w:pPr>
        <w:pStyle w:val="ListBullet"/>
      </w:pPr>
      <w:r>
        <w:t>Ordering should be stable to reduce noisy diffs.</w:t>
      </w:r>
    </w:p>
    <w:p>
      <w:pPr>
        <w:pStyle w:val="ListBullet"/>
      </w:pPr>
      <w:r>
        <w:t>Do not rewrite all metadata merely because the editor opened a project.</w:t>
      </w:r>
    </w:p>
    <w:p>
      <w:pPr>
        <w:pStyle w:val="Heading1"/>
      </w:pPr>
      <w:r>
        <w:t>Basis and relationship to prior studies</w:t>
      </w:r>
    </w:p>
    <w:p>
      <w:r>
        <w:t>This document turns previously studied architecture and the current Starlight objectives into a project-specific contract. The studies are references, not implementation dependencies: Starlight keeps its own project model and runtime boundaries.</w:t>
      </w:r>
    </w:p>
    <w:p>
      <w:pPr>
        <w:pStyle w:val="ListBullet"/>
      </w:pPr>
      <w:r>
        <w:t>Engine objectives: Objetivos com a engine.md</w:t>
      </w:r>
    </w:p>
    <w:p>
      <w:pPr>
        <w:pStyle w:val="ListBullet"/>
      </w:pPr>
      <w:r>
        <w:t>MonoGame study: MonoGame_Runtime_Architecture_Study_for_Starlight_Engine.docx</w:t>
      </w:r>
    </w:p>
    <w:p>
      <w:pPr>
        <w:pStyle w:val="ListBullet"/>
      </w:pPr>
      <w:r>
        <w:t>FlatRedBall/Gum study: FlatRedBall_Gum_Architecture_Study_for_Starlight_Engine.docx</w:t>
      </w:r>
    </w:p>
    <w:p>
      <w:pPr>
        <w:pStyle w:val="ListBullet"/>
      </w:pPr>
      <w:r>
        <w:t>GDevelop/Construct study: GDevelop5_Construct3_Architecture_Study_for_Starlight_Engi.docx</w:t>
      </w:r>
    </w:p>
    <w:p>
      <w:pPr>
        <w:pStyle w:val="Heading1"/>
      </w:pPr>
      <w:r>
        <w:t>Applicable architectural decisions</w:t>
      </w:r>
    </w:p>
    <w:p>
      <w:r>
        <w:t>Normative authority: Questões em Aberto - Decisões.md. This document develops ADR-SL-004, ADR-SL-007, ADR-SL-015. New candidate ADRs below do not amend the approved decisions.</w:t>
      </w:r>
    </w:p>
    <w:p>
      <w:pPr>
        <w:pStyle w:val="Heading1"/>
      </w:pPr>
      <w:r>
        <w:t>Recovery cases and explicit identity operations</w:t>
      </w:r>
    </w:p>
    <w:p>
      <w:r>
        <w:t>New import: when the user explicitly imports a genuinely new source, generate a collision-resistant AssetGuid and persist .meta transactionally before publishing the index entry. Copy through the Editor is an explicit identity-creation operation: create a fresh GUID and copy settings, preserving references to the original unless the user requests a separate clone/remap operation. Rename/move through the Editor moves source and sidecar as one recoverable transaction (03).</w:t>
      </w:r>
    </w:p>
    <w:p>
      <w:r>
        <w:t>External move with matching sidecar preserves identity; rescan and reconcile GUID to new path. External move without sidecar cannot always be distinguished from copy, deletion or replacement. A source without .meta, orphan .meta, duplicate GUID or conflicting package import enters a diagnosed unresolved state. Do not silently generate a new GUID for an ambiguous candidate or erase orphan metadata.</w:t>
      </w:r>
    </w:p>
    <w:p>
      <w:r>
        <w:t>Recovery uses version control/backups, previous index records, content hashes and explicit user confirmation as evidence. A matching hash is a candidate, not identity proof: identical source bytes may have distinct settings or logical identities. Relink an orphan only when unambiguous/confirmed; otherwise offer restore sidecar, choose source association, or explicitly import as a new asset. Builds requiring unresolved assets fail without destroying project data.</w:t>
      </w:r>
    </w:p>
    <w:p>
      <w:r>
        <w:t>Duplicate source plus copied .meta: flag both locations, block ambiguous resolution, preserve existing references, and ask which is the original versus a new copy. Across packages, reject collisions of AssetGuid or stable package/type IDs; never auto-merge by display name or hash. A reference to an installed package asset retains that package identity; copying it into project ownership requires an explicit new identity and remap.</w:t>
      </w:r>
    </w:p>
    <w:p>
      <w:r>
        <w:t>contentHash records source-byte hash; settings/importer/dependency hashes are separate build-key inputs. Recompute on observed content changes and before relying on stale index records. The zero-valued 64-hex hash in the record example is a syntactic fixture, not a real file digest. GUID spelling and scopes are defined in 06; paths, timestamps and names never determine identity.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