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Starlight Project Model</w:t>
      </w:r>
    </w:p>
    <w:p>
      <w:pPr>
        <w:pStyle w:val="Subtitle"/>
        <w:jc w:val="center"/>
      </w:pPr>
      <w:r>
        <w:t>Canonical authored domain model for projects, layouts, levels, object-refs, instances, families, logic and extensions</w:t>
      </w:r>
    </w:p>
    <w:p>
      <w:pPr>
        <w:jc w:val="center"/>
      </w:pPr>
      <w:r>
        <w:rPr>
          <w:b/>
        </w:rPr>
        <w:t>Starlight Engine Architecture Definition • 5 October 2026</w:t>
      </w:r>
    </w:p>
    <w:p>
      <w:r>
        <w:t>Status: Consolidated against ADR-SL-001 through ADR-SL-022, 14 October 2026. Normative means approved contract or direct clarification of it. Proposed / Pending Approval is not an implementation mandate. Deferred means explicitly outside the current delivery scope. See document 00 and the decision register.</w:t>
      </w:r>
    </w:p>
    <w:p>
      <w:r>
        <w:br w:type="page"/>
      </w:r>
    </w:p>
    <w:p>
      <w:pPr>
        <w:pStyle w:val="Heading1"/>
      </w:pPr>
      <w:r>
        <w:t>1. Role</w:t>
      </w:r>
    </w:p>
    <w:p>
      <w:r>
        <w:t>The Project Model is the canonical serializable description of a Starlight game. It is shared conceptually by editor services, validation and build tooling, but it is not the live MonoGame object graph. Runtime objects are projections/build products of this model.</w:t>
      </w:r>
    </w:p>
    <w:p>
      <w:pPr>
        <w:pStyle w:val="Heading1"/>
      </w:pPr>
      <w:r>
        <w:t>2. Top-level model</w:t>
      </w:r>
    </w:p>
    <w:p>
      <w:pPr>
        <w:ind w:left="360" w:right="216"/>
      </w:pPr>
      <w:r>
        <w:rPr>
          <w:rFonts w:ascii="Consolas" w:hAnsi="Consolas"/>
          <w:sz w:val="17"/>
        </w:rPr>
        <w:t>Project</w:t>
        <w:br/>
        <w:t>├─ Settings</w:t>
        <w:br/>
        <w:t>├─ AssetIndex</w:t>
        <w:br/>
        <w:t>├─ Layouts</w:t>
        <w:br/>
        <w:t>├─ Levels</w:t>
        <w:br/>
        <w:t>├─ ObjectRefs</w:t>
        <w:br/>
        <w:t>├─ Families</w:t>
        <w:br/>
        <w:t>├─ EventSheets</w:t>
        <w:br/>
        <w:t>├─ Scripts</w:t>
        <w:br/>
        <w:t>├─ AddonDependencies</w:t>
        <w:br/>
        <w:t>└─ BuildProfiles</w:t>
      </w:r>
    </w:p>
    <w:p>
      <w:pPr>
        <w:pStyle w:val="Heading1"/>
      </w:pPr>
      <w:r>
        <w:t>3. Core entities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Entity</w:t>
            </w:r>
          </w:p>
        </w:tc>
        <w:tc>
          <w:tcPr>
            <w:tcW w:type="dxa" w:w="3312"/>
            <w:shd w:fill="D9EAF7"/>
          </w:tcPr>
          <w:p>
            <w:r>
              <w:t>Meaning</w:t>
            </w:r>
          </w:p>
        </w:tc>
        <w:tc>
          <w:tcPr>
            <w:tcW w:type="dxa" w:w="3312"/>
            <w:shd w:fill="D9EAF7"/>
          </w:tcPr>
          <w:p>
            <w:r>
              <w:t>Key relationships</w:t>
            </w:r>
          </w:p>
        </w:tc>
      </w:tr>
      <w:tr>
        <w:tc>
          <w:tcPr>
            <w:tcW w:type="dxa" w:w="3312"/>
          </w:tcPr>
          <w:p>
            <w:r>
              <w:t>Project</w:t>
            </w:r>
          </w:p>
        </w:tc>
        <w:tc>
          <w:tcPr>
            <w:tcW w:type="dxa" w:w="3312"/>
          </w:tcPr>
          <w:p>
            <w:r>
              <w:t>Complete game/application</w:t>
            </w:r>
          </w:p>
        </w:tc>
        <w:tc>
          <w:tcPr>
            <w:tcW w:type="dxa" w:w="3312"/>
          </w:tcPr>
          <w:p>
            <w:r>
              <w:t>Owns settings and indexes all authored resources.</w:t>
            </w:r>
          </w:p>
        </w:tc>
      </w:tr>
      <w:tr>
        <w:tc>
          <w:tcPr>
            <w:tcW w:type="dxa" w:w="3312"/>
          </w:tcPr>
          <w:p>
            <w:r>
              <w:t>Layout</w:t>
            </w:r>
          </w:p>
        </w:tc>
        <w:tc>
          <w:tcPr>
            <w:tcW w:type="dxa" w:w="3312"/>
          </w:tcPr>
          <w:p>
            <w:r>
              <w:t>Scene/room composition</w:t>
            </w:r>
          </w:p>
        </w:tc>
        <w:tc>
          <w:tcPr>
            <w:tcW w:type="dxa" w:w="3312"/>
          </w:tcPr>
          <w:p>
            <w:r>
              <w:t>Layers, placed instances, level references, Event Sheets/scripts.</w:t>
            </w:r>
          </w:p>
        </w:tc>
      </w:tr>
      <w:tr>
        <w:tc>
          <w:tcPr>
            <w:tcW w:type="dxa" w:w="3312"/>
          </w:tcPr>
          <w:p>
            <w:r>
              <w:t>Layer</w:t>
            </w:r>
          </w:p>
        </w:tc>
        <w:tc>
          <w:tcPr>
            <w:tcW w:type="dxa" w:w="3312"/>
          </w:tcPr>
          <w:p>
            <w:r>
              <w:t>Ordered visual/logical grouping</w:t>
            </w:r>
          </w:p>
        </w:tc>
        <w:tc>
          <w:tcPr>
            <w:tcW w:type="dxa" w:w="3312"/>
          </w:tcPr>
          <w:p>
            <w:r>
              <w:t>Belongs to Layout; may have special GUI/background/import semantics.</w:t>
            </w:r>
          </w:p>
        </w:tc>
      </w:tr>
      <w:tr>
        <w:tc>
          <w:tcPr>
            <w:tcW w:type="dxa" w:w="3312"/>
          </w:tcPr>
          <w:p>
            <w:r>
              <w:t>Level</w:t>
            </w:r>
          </w:p>
        </w:tc>
        <w:tc>
          <w:tcPr>
            <w:tcW w:type="dxa" w:w="3312"/>
          </w:tcPr>
          <w:p>
            <w:r>
              <w:t>Reusable grid/tile semantic map</w:t>
            </w:r>
          </w:p>
        </w:tc>
        <w:tc>
          <w:tcPr>
            <w:tcW w:type="dxa" w:w="3312"/>
          </w:tcPr>
          <w:p>
            <w:r>
              <w:t>Tilesets, grids, IntGrid/semantic layers, entity placements.</w:t>
            </w:r>
          </w:p>
        </w:tc>
      </w:tr>
      <w:tr>
        <w:tc>
          <w:tcPr>
            <w:tcW w:type="dxa" w:w="3312"/>
          </w:tcPr>
          <w:p>
            <w:r>
              <w:t>Object-Ref</w:t>
            </w:r>
          </w:p>
        </w:tc>
        <w:tc>
          <w:tcPr>
            <w:tcW w:type="dxa" w:w="3312"/>
          </w:tcPr>
          <w:p>
            <w:r>
              <w:t>Reusable object definition, not a mandatory CLR class</w:t>
            </w:r>
          </w:p>
        </w:tc>
        <w:tc>
          <w:tcPr>
            <w:tcW w:type="dxa" w:w="3312"/>
          </w:tcPr>
          <w:p>
            <w:r>
              <w:t>Composition of plugins, behaviors, variables, events and inheritance/family membership.</w:t>
            </w:r>
          </w:p>
        </w:tc>
      </w:tr>
      <w:tr>
        <w:tc>
          <w:tcPr>
            <w:tcW w:type="dxa" w:w="3312"/>
          </w:tcPr>
          <w:p>
            <w:r>
              <w:t>Instance</w:t>
            </w:r>
          </w:p>
        </w:tc>
        <w:tc>
          <w:tcPr>
            <w:tcW w:type="dxa" w:w="3312"/>
          </w:tcPr>
          <w:p>
            <w:r>
              <w:t>Authored occurrence of Object-Ref; projected to runtime entities</w:t>
            </w:r>
          </w:p>
        </w:tc>
        <w:tc>
          <w:tcPr>
            <w:tcW w:type="dxa" w:w="3312"/>
          </w:tcPr>
          <w:p>
            <w:r>
              <w:t>Transform, layer, UID, overrides, tags and per-instance state defaults.</w:t>
            </w:r>
          </w:p>
        </w:tc>
      </w:tr>
      <w:tr>
        <w:tc>
          <w:tcPr>
            <w:tcW w:type="dxa" w:w="3312"/>
          </w:tcPr>
          <w:p>
            <w:r>
              <w:t>Family</w:t>
            </w:r>
          </w:p>
        </w:tc>
        <w:tc>
          <w:tcPr>
            <w:tcW w:type="dxa" w:w="3312"/>
          </w:tcPr>
          <w:p>
            <w:r>
              <w:t>Shared contract/grouping distinct from Object-Ref inheritance</w:t>
            </w:r>
          </w:p>
        </w:tc>
        <w:tc>
          <w:tcPr>
            <w:tcW w:type="dxa" w:w="3312"/>
          </w:tcPr>
          <w:p>
            <w:r>
              <w:t>Allows shared variables/behaviors/events and family-ref selection.</w:t>
            </w:r>
          </w:p>
        </w:tc>
      </w:tr>
      <w:tr>
        <w:tc>
          <w:tcPr>
            <w:tcW w:type="dxa" w:w="3312"/>
          </w:tcPr>
          <w:p>
            <w:r>
              <w:t>EventSheet</w:t>
            </w:r>
          </w:p>
        </w:tc>
        <w:tc>
          <w:tcPr>
            <w:tcW w:type="dxa" w:w="3312"/>
          </w:tcPr>
          <w:p>
            <w:r>
              <w:t>Visual logic program</w:t>
            </w:r>
          </w:p>
        </w:tc>
        <w:tc>
          <w:tcPr>
            <w:tcW w:type="dxa" w:w="3312"/>
          </w:tcPr>
          <w:p>
            <w:r>
              <w:t>Conditions, actions, expressions, functions, includes and variables.</w:t>
            </w:r>
          </w:p>
        </w:tc>
      </w:tr>
      <w:tr>
        <w:tc>
          <w:tcPr>
            <w:tcW w:type="dxa" w:w="3312"/>
          </w:tcPr>
          <w:p>
            <w:r>
              <w:t>Addon dependency</w:t>
            </w:r>
          </w:p>
        </w:tc>
        <w:tc>
          <w:tcPr>
            <w:tcW w:type="dxa" w:w="3312"/>
          </w:tcPr>
          <w:p>
            <w:r>
              <w:t>Plugin/Behavior capability source</w:t>
            </w:r>
          </w:p>
        </w:tc>
        <w:tc>
          <w:tcPr>
            <w:tcW w:type="dxa" w:w="3312"/>
          </w:tcPr>
          <w:p>
            <w:r>
              <w:t>Version/capability/target requirements.</w:t>
            </w:r>
          </w:p>
        </w:tc>
      </w:tr>
    </w:tbl>
    <w:p>
      <w:pPr>
        <w:pStyle w:val="Heading1"/>
      </w:pPr>
      <w:r>
        <w:t>4. Object composition</w:t>
      </w:r>
    </w:p>
    <w:p>
      <w:r>
        <w:t>Starlight treats composite objects as first-class. A Player can contain visual Sprite components/plugins, collision/hitbox elements, particle systems, timers and behaviors. Sprite is not required to be the identity of the character. Object-Ref defines the reusable composition; instances provide position/rotation/size and local overrides.</w:t>
      </w:r>
    </w:p>
    <w:p>
      <w:pPr>
        <w:pStyle w:val="Heading1"/>
      </w:pPr>
      <w:r>
        <w:t>5. Layout vs Level</w:t>
      </w:r>
    </w:p>
    <w:p>
      <w:r>
        <w:t>Normative: Layout is the complete scene/room and can represent gameplay, menus, title screens or other scenes. Level is a specialized reusable spatial/grid asset used inside a Layout. A Layout may contain zero, one or multiple Level assets plus ordinary object instances, cameras, effects, GUI and logic.</w:t>
      </w:r>
    </w:p>
    <w:p>
      <w:pPr>
        <w:pStyle w:val="Heading1"/>
      </w:pPr>
      <w:r>
        <w:t>6. Logic model</w:t>
      </w:r>
    </w:p>
    <w:p>
      <w:r>
        <w:t>Event Sheets are structured AST resources. Conditions filter selected instances; actions apply to the resulting selection; expressions retrieve/calculate values. Includes, functions, subevents, groups and scoped variables are represented structurally rather than as opaque display text.</w:t>
      </w:r>
    </w:p>
    <w:p>
      <w:pPr>
        <w:pStyle w:val="Heading1"/>
      </w:pPr>
      <w:r>
        <w:t>7. Inheritance and overrides</w:t>
      </w:r>
    </w:p>
    <w:p>
      <w:pPr>
        <w:pStyle w:val="ListBullet"/>
      </w:pPr>
      <w:r>
        <w:t>ADR-SL-011: validate cycles; Family membership is a shared contract, not CLR class inheritance. Advanced inheritance rules remain Proposed below.</w:t>
      </w:r>
    </w:p>
    <w:p>
      <w:pPr>
        <w:pStyle w:val="ListBullet"/>
      </w:pPr>
      <w:r>
        <w:t>Placed instances store only overrides from their Object-Ref defaults where practical.</w:t>
      </w:r>
    </w:p>
    <w:p>
      <w:pPr>
        <w:pStyle w:val="ListBullet"/>
      </w:pPr>
      <w:r>
        <w:t>Imported/global layers and reusable Levels use references, not deep copies by default.</w:t>
      </w:r>
    </w:p>
    <w:p>
      <w:pPr>
        <w:pStyle w:val="ListBullet"/>
      </w:pPr>
      <w:r>
        <w:t>Normative ADR-SL-011: Instance Override → Object-Ref → Family → Default do Plugin/Behavior. The first cut supports Instance overrides and simple Family grouping, without complex nested inheritance.</w:t>
      </w:r>
    </w:p>
    <w:p>
      <w:pPr>
        <w:pStyle w:val="Heading1"/>
      </w:pPr>
      <w:r>
        <w:t>8. Serialization principles</w:t>
      </w:r>
    </w:p>
    <w:p>
      <w:pPr>
        <w:pStyle w:val="ListBullet"/>
      </w:pPr>
      <w:r>
        <w:t>Stable IDs for cross-file references.</w:t>
      </w:r>
    </w:p>
    <w:p>
      <w:pPr>
        <w:pStyle w:val="ListBullet"/>
      </w:pPr>
      <w:r>
        <w:t>Explicit schemaVersion per document type.</w:t>
      </w:r>
    </w:p>
    <w:p>
      <w:pPr>
        <w:pStyle w:val="ListBullet"/>
      </w:pPr>
      <w:r>
        <w:t>ADR-SL-006: preserve unknown optional fields and opaque missing-plugin payloads using System.Text.Json extension data; missing required capabilities block build, not safe editor opening.</w:t>
      </w:r>
    </w:p>
    <w:p>
      <w:pPr>
        <w:pStyle w:val="ListBullet"/>
      </w:pPr>
      <w:r>
        <w:t>Textual canonical formats should avoid runtime-only MonoGame object serialization.</w:t>
      </w:r>
    </w:p>
    <w:p>
      <w:pPr>
        <w:pStyle w:val="ListBullet"/>
      </w:pPr>
      <w:r>
        <w:t>Editor-only state is separated from game semantics.</w:t>
      </w:r>
    </w:p>
    <w:p>
      <w:pPr>
        <w:pStyle w:val="Heading1"/>
      </w:pPr>
      <w:r>
        <w:t>9. Runtime projection</w:t>
      </w:r>
    </w:p>
    <w:p>
      <w:pPr>
        <w:ind w:left="360" w:right="216"/>
      </w:pPr>
      <w:r>
        <w:rPr>
          <w:rFonts w:ascii="Consolas" w:hAnsi="Consolas"/>
          <w:sz w:val="17"/>
        </w:rPr>
        <w:t>Serialized Project Model</w:t>
        <w:br/>
        <w:t xml:space="preserve">        ↓ validation/resolution</w:t>
        <w:br/>
        <w:t>Resolved Build Model</w:t>
        <w:br/>
        <w:t xml:space="preserve">        ↓ generation/content build</w:t>
        <w:br/>
        <w:t>Runtime registries + game data + assemblies</w:t>
        <w:br/>
        <w:t xml:space="preserve">        ↓</w:t>
        <w:br/>
        <w:t>Starlight.Runtime / MonoGame</w:t>
      </w:r>
    </w:p>
    <w:p>
      <w:pPr>
        <w:pStyle w:val="Heading1"/>
      </w:pPr>
      <w:r>
        <w:t>Basis and relationship to prior studies</w:t>
      </w:r>
    </w:p>
    <w:p>
      <w:r>
        <w:t>This document turns previously studied architecture and the current Starlight objectives into a project-specific contract. The studies are references, not implementation dependencies: Starlight keeps its own project model and runtime boundaries.</w:t>
      </w:r>
    </w:p>
    <w:p>
      <w:pPr>
        <w:pStyle w:val="ListBullet"/>
      </w:pPr>
      <w:r>
        <w:t>Engine objectives: Objetivos com a engine.md</w:t>
      </w:r>
    </w:p>
    <w:p>
      <w:pPr>
        <w:pStyle w:val="ListBullet"/>
      </w:pPr>
      <w:r>
        <w:t>MonoGame study: MonoGame_Runtime_Architecture_Study_for_Starlight_Engine.docx</w:t>
      </w:r>
    </w:p>
    <w:p>
      <w:pPr>
        <w:pStyle w:val="ListBullet"/>
      </w:pPr>
      <w:r>
        <w:t>FlatRedBall/Gum study: FlatRedBall_Gum_Architecture_Study_for_Starlight_Engine.docx</w:t>
      </w:r>
    </w:p>
    <w:p>
      <w:pPr>
        <w:pStyle w:val="ListBullet"/>
      </w:pPr>
      <w:r>
        <w:t>GDevelop/Construct study: GDevelop5_Construct3_Architecture_Study_for_Starlight_Engi.docx</w:t>
      </w:r>
    </w:p>
    <w:p>
      <w:pPr>
        <w:pStyle w:val="Heading1"/>
      </w:pPr>
      <w:r>
        <w:t>Applicable architectural decisions</w:t>
      </w:r>
    </w:p>
    <w:p>
      <w:r>
        <w:t>Normative authority: Questões em Aberto - Decisões.md. This document develops ADR-SL-003, ADR-SL-005, ADR-SL-006, ADR-SL-007, ADR-SL-008, ADR-SL-009, ADR-SL-010, ADR-SL-011, ADR-SL-016, ADR-SL-019, ADR-SL-022. New candidate ADRs below do not amend the approved decisions.</w:t>
      </w:r>
    </w:p>
    <w:p>
      <w:pPr>
        <w:pStyle w:val="Heading1"/>
      </w:pPr>
      <w:r>
        <w:t>Product intent and CSharp</w:t>
      </w:r>
    </w:p>
    <w:p>
      <w:r>
        <w:t>Construct-derived authoring requirements remain product intent: object picking, containers, layers, variables, includes and functions must be represented in Starlight. References to JavaScript, runtime.callFunction, Construct syntax or addon binaries are not a requirement to embed a JavaScript gameplay runtime or support binary-compatible Construct plugins. C# scripts and Event Sheets share typed Starlight APIs and the CapabilityRegistry (ADR-SL-009); textual operator syntax follows the typed C#-style expression contract, with explicit conversions rather than accidental Construct coercions.</w:t>
      </w:r>
    </w:p>
    <w:p>
      <w:pPr>
        <w:pStyle w:val="Heading1"/>
      </w:pPr>
      <w:r>
        <w:t>Composition and identity</w:t>
      </w:r>
    </w:p>
    <w:p>
      <w:r>
        <w:t>Normative intent and ADR-SL-008/011: Object-Ref is a reusable definition; Family is a shared contract/group of Object-Refs; Container/Hierarchy expresses structural composition; Instance is an authored occurrence in a Layout/Level; Behavior is reusable functionality with separate mutable state for each runtime instance; Plugin supplies visual, nonvisual or project-global capability. Sprite is an optional visual component, never the identity of every character.</w:t>
      </w:r>
    </w:p>
    <w:p>
      <w:r>
        <w:t>A composition must distinguish owned child instances from components attached to one entity. Components have stable slots/member IDs scoped to their owning Object-Ref composition; children refer to Object-Refs and stable child slots. References must target owner plus slot/instance ID, not mutable display names or list positions. Reject cycles, dangling required references and ambiguous component/behavior access during validation.</w:t>
      </w:r>
    </w:p>
    <w:p>
      <w:r>
        <w:t>Authored Instance UID identifies the placed instance within its Layout/Level. EntityId identifies a live entity in a runtime world/session and must not be serialized back as an authored UID. Reusing one Level in two Layout placements requires a placement context plus the Level-local Instance UID; both occurrences receive distinct EntityIds. Dynamically spawned entities have EntityIds and may have no authored UID. Persistent/global gameplay lifetime is a separate property, not implied by a GUID or saved-game identity.</w:t>
      </w:r>
    </w:p>
    <w:p>
      <w:r>
        <w:t>Behaviors belong to the Object-Ref/Family definition with per-instance configuration/state and enablement; do not silently add different behavior types to individual instances. C# and Events access the same component/behavior registry, validated capability IDs and stable slots. Conceptual API: entity.GetComponent&lt;T&gt;(slotId), entity.GetBehavior&lt;T&gt;(slotId); these names illustrate typed SDK access, not an implemented API. Container actions resolve related member instances without selecting unrelated containers of the same type (09).</w:t>
      </w:r>
    </w:p>
    <w:p>
      <w:pPr>
        <w:pStyle w:val="Heading1"/>
      </w:pPr>
      <w:r>
        <w:t>Resolution inside a composition</w:t>
      </w:r>
    </w:p>
    <w:p>
      <w:r>
        <w:t>The approved precedence is property-wise, using presence rather than truthiness: an explicit false, zero or nullable value is an override. Clear/remove/reset are distinct operations; absence means inherit. Resolve only compatible declared property/member IDs. Container parenthood is not an additional default-precedence level; child defaults come from the child Object-Ref and child-slot overrides, not from unrelated parent variables.</w:t>
      </w:r>
    </w:p>
    <w:p>
      <w:r>
        <w:t>An inherited Object-Ref, if supported, must first produce its effective definition before the Object-Ref tier of ADR-SL-011 is applied. Family membership does not create a CLR superclass or automatically imply Object-Ref ancestry. Conflicts between multiple Families or inherited members require an explicit rule; do not choose by file/list discovery order. Concrete advanced rules below are proposals, not an expansion of the approved MVP.</w:t>
      </w:r>
    </w:p>
    <w:p>
      <w:pPr>
        <w:pStyle w:val="Heading1"/>
      </w:pPr>
      <w:r>
        <w:t>Candidate ADR SL 024 advanced composition</w:t>
      </w:r>
    </w:p>
    <w:p>
      <w:r>
        <w:t>Status: Proposed / Pending Approval. Recommend single Object-Ref base inheritance, nearest derived property overriding its base within the Object-Ref tier; multiple Family membership only where members are compatible, with unresolved conflicting defaults requiring an explicit Object-Ref value. Alternatives: one Family only (simpler but restrictive), explicit ordered Family precedence (flexible but order-sensitive), or multiple Object-Ref bases (greater ambiguity and migration cost). No multiple inheritance is approved.</w:t>
      </w:r>
    </w:p>
    <w:p>
      <w:r>
        <w:t>Recommend an acyclic single-parent ownership tree with local transforms; compute global transforms by composing parent global with child local, and preserve local authored values. Reparent operations explicitly choose preserve-world or preserve-local. Translation/rotation/scale inheritance flags, nonuniform scale/shear and physics-body attachment need declared semantics; reject unsupported combinations instead of approximating silently. Alternative: independent transforms with explicit attachment behaviors, simpler for physics but weaker editor hierarchy ergonomics.</w:t>
      </w:r>
    </w:p>
    <w:p>
      <w:r>
        <w:t>Recommend atomic compound creation: reserve all EntityIds, resolve defaults/overrides and child references, initialize parent before children, then expose the completed group. Failure rolls back all created members. Destruction marks the entire owned subtree unavailable to selections immediately and releases children before the parent at a safe iteration boundary. Non-owned references do not destroy their targets. Detach/reparent and surviving global children must be explicit operations; global lifetime should be validated consistently for the owned tree.</w:t>
      </w:r>
    </w:p>
    <w:p>
      <w:r>
        <w:t>Recommend separate stable child-slot overrides and component-property overrides, with diagnostics for removed/renamed slots and migration support. Instance overrides must not rewrite the shared Object-Ref. Container co-selection is required by product intent; exact closure, nested ownership, and OR correlation rules are covered by proposed ADR-SL-027 in 09. Data contracts reserve explicit ownership, parent/child slots, local transforms and extensible metadata; unsupported advanced fields are preserved, not executed as if approved.</w:t>
      </w:r>
    </w:p>
    <w:p>
      <w:r>
        <w:t>Acceptance before approval: tank base/turret rotate independently; two tanks never exchange selected members; reparent under rotated/scaled parents is unambiguous; deleting a parent has one documented child lifecycle; a Family default conflict produces the same diagnostic independent of load order.</w:t>
      </w:r>
    </w:p>
    <w:p>
      <w:pPr>
        <w:pStyle w:val="Heading1"/>
      </w:pPr>
      <w:r>
        <w:t>Runtime phases and portable time</w:t>
      </w:r>
    </w:p>
    <w:p>
      <w:r>
        <w:t>ADR-SL-010: 1 Input Snapshot; 2 Service PreUpdate; 3 Behavior PreEvents; 4 Event Sheet &amp; Triggers; 5 Behavior PostEvents; 6 Physics &amp; Late Systems; 7 Render Prepare; 8 MonoGame Draw; 9 Debug &amp; Telemetry. These nine phase names/order remain approved. No addon inserts a tenth phase. Proposed timing/delivery semantics in 09 do not authorize a second Event Sheet pass after physics.</w:t>
      </w:r>
    </w:p>
    <w:p>
      <w:r>
        <w:t>Portable timing clarification of ADR-SL-010 against ADR-SL-016: FrameTime is a small immutable Starlight value containing Delta (System.TimeSpan), Total (System.TimeSpan) and FrameIndex (System.Int64). Delta is simulation elapsed time, Total is accumulated simulation time, and FrameIndex counts simulation updates, not draw calls or wall-clock time. The MonoGame adapter converts GameTime.ElapsedGameTime/TotalGameTime and supplies the index. Core, SDK, IBehavior and generated C# receive only FrameTime. Unit tests can construct it without a graphics device. Pause/clock reset must not be inferred from operating-system time; the scheduling policy is explicitly pending in 09.</w:t>
      </w:r>
    </w:p>
    <w:p>
      <w:pPr>
        <w:pStyle w:val="Heading1"/>
      </w:pPr>
      <w:r>
        <w:t>Preserved authoring requirements and scope</w:t>
      </w:r>
    </w:p>
    <w:p>
      <w:r>
        <w:t>The objectives also retain Background/GUI/global/imported layers, reusable Layouts, instance tags, global lifetime, shared variables, event includes/functions and editor-only visibility/locking. Their detailed scheduling is for subsequent project.md/mvp.md planning, not deletion by omission from the first milestone. In the 2D MVP, authored z is visual ordering and does not affect collision; future spatial z must be distinguished from draw order by an explicit schema migration/capability, rather than silently changing existing 2D projects (ADR-SL-022).</w:t>
      </w:r>
    </w:p>
    <w:p>
      <w:r>
        <w:t>The objectives describe a project-wide read-only instance UID, historically numeric. Stable UUID-based authored identity preserves that lookup intent; a numeric editor display alias, if provided, is not canonical identity. Validate authored UID uniqueness within the project and include owner/Level-placement context when resolving reused resources. Copying a placed instance generates a new UID; repeated runtime materialization does not mutate the source UID.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