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Starlight File Formats &amp; Metadata Contracts</w:t>
      </w:r>
    </w:p>
    <w:p>
      <w:pPr>
        <w:pStyle w:val="Subtitle"/>
        <w:jc w:val="center"/>
      </w:pPr>
      <w:r>
        <w:t>Logical schemas for project, layout, level, object, event, tileset, asset metadata and addon manifests</w:t>
      </w:r>
    </w:p>
    <w:p>
      <w:pPr>
        <w:jc w:val="center"/>
      </w:pPr>
      <w:r>
        <w:rPr>
          <w:b/>
        </w:rPr>
        <w:t>Starlight Engine Architecture Definition • 5 October 2026</w:t>
      </w:r>
    </w:p>
    <w:p>
      <w:r>
        <w:t>Status: Consolidated against ADR-SL-001 through ADR-SL-022, 14 October 2026. Normative means approved contract or direct clarification of it. Proposed / Pending Approval is not an implementation mandate. Deferred means explicitly outside the current delivery scope. See document 00 and the decision register.</w:t>
      </w:r>
    </w:p>
    <w:p>
      <w:r>
        <w:br w:type="page"/>
      </w:r>
    </w:p>
    <w:p>
      <w:pPr>
        <w:pStyle w:val="Heading1"/>
      </w:pPr>
      <w:r>
        <w:t>1. Status</w:t>
      </w:r>
    </w:p>
    <w:p>
      <w:r>
        <w:t>ADR-SL-004–007 define normative granular JSON documents, required envelopes, deterministic System.Text.Json serialization and opaque-data preservation. Examples below are syntactically valid JSON fixtures; domain fields remain illustrative unless explicitly fixed by an ADR. The candidate envelope clarification for non-named data and package identity is labeled Proposed, not silently approved.</w:t>
      </w:r>
    </w:p>
    <w:p>
      <w:pPr>
        <w:pStyle w:val="Heading1"/>
      </w:pPr>
      <w:r>
        <w:t>2. Format family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Extension</w:t>
            </w:r>
          </w:p>
        </w:tc>
        <w:tc>
          <w:tcPr>
            <w:tcW w:type="dxa" w:w="3312"/>
            <w:shd w:fill="D9EAF7"/>
          </w:tcPr>
          <w:p>
            <w:r>
              <w:t>Document</w:t>
            </w:r>
          </w:p>
        </w:tc>
        <w:tc>
          <w:tcPr>
            <w:tcW w:type="dxa" w:w="3312"/>
            <w:shd w:fill="D9EAF7"/>
          </w:tcPr>
          <w:p>
            <w:r>
              <w:t>Canonical source?</w:t>
            </w:r>
          </w:p>
        </w:tc>
      </w:tr>
      <w:tr>
        <w:tc>
          <w:tcPr>
            <w:tcW w:type="dxa" w:w="3312"/>
          </w:tcPr>
          <w:p>
            <w:r>
              <w:t>.starlight</w:t>
            </w:r>
          </w:p>
        </w:tc>
        <w:tc>
          <w:tcPr>
            <w:tcW w:type="dxa" w:w="3312"/>
          </w:tcPr>
          <w:p>
            <w:r>
              <w:t>Project manifest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.layout</w:t>
            </w:r>
          </w:p>
        </w:tc>
        <w:tc>
          <w:tcPr>
            <w:tcW w:type="dxa" w:w="3312"/>
          </w:tcPr>
          <w:p>
            <w:r>
              <w:t>Layout/scene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.level</w:t>
            </w:r>
          </w:p>
        </w:tc>
        <w:tc>
          <w:tcPr>
            <w:tcW w:type="dxa" w:w="3312"/>
          </w:tcPr>
          <w:p>
            <w:r>
              <w:t>Reusable level/grid data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.object</w:t>
            </w:r>
          </w:p>
        </w:tc>
        <w:tc>
          <w:tcPr>
            <w:tcW w:type="dxa" w:w="3312"/>
          </w:tcPr>
          <w:p>
            <w:r>
              <w:t>Object-Ref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.event</w:t>
            </w:r>
          </w:p>
        </w:tc>
        <w:tc>
          <w:tcPr>
            <w:tcW w:type="dxa" w:w="3312"/>
          </w:tcPr>
          <w:p>
            <w:r>
              <w:t>Event Sheet AST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.tileset</w:t>
            </w:r>
          </w:p>
        </w:tc>
        <w:tc>
          <w:tcPr>
            <w:tcW w:type="dxa" w:w="3312"/>
          </w:tcPr>
          <w:p>
            <w:r>
              <w:t>Starlight tileset + terrain/rules metadata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.meta</w:t>
            </w:r>
          </w:p>
        </w:tc>
        <w:tc>
          <w:tcPr>
            <w:tcW w:type="dxa" w:w="3312"/>
          </w:tcPr>
          <w:p>
            <w:r>
              <w:t>Mandatory imported asset sidecar (ADR-SL-004)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.addon</w:t>
            </w:r>
          </w:p>
        </w:tc>
        <w:tc>
          <w:tcPr>
            <w:tcW w:type="dxa" w:w="3312"/>
          </w:tcPr>
          <w:p>
            <w:r>
              <w:t>Addon manifest/package descriptor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.cs</w:t>
            </w:r>
          </w:p>
        </w:tc>
        <w:tc>
          <w:tcPr>
            <w:tcW w:type="dxa" w:w="3312"/>
          </w:tcPr>
          <w:p>
            <w:r>
              <w:t>User C# script/source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</w:tbl>
    <w:p>
      <w:pPr>
        <w:pStyle w:val="Heading1"/>
      </w:pPr>
      <w:r>
        <w:t>3. Common envelope</w:t>
      </w:r>
    </w:p>
    <w:p>
      <w:pPr>
        <w:ind w:left="360" w:right="216"/>
      </w:pPr>
      <w:r>
        <w:rPr>
          <w:rFonts w:ascii="Consolas" w:hAnsi="Consolas"/>
          <w:sz w:val="17"/>
        </w:rPr>
        <w:t>{</w:t>
        <w:br/>
        <w:t xml:space="preserve">  "schema": "starlight.layout",</w:t>
        <w:br/>
        <w:t xml:space="preserve">  "schemaVersion": 1,</w:t>
        <w:br/>
        <w:t xml:space="preserve">  "id": "layout:00000002-1a2b-4c3d-8e9f-0123456789ab",</w:t>
        <w:br/>
        <w:t xml:space="preserve">  "name": "Forest",</w:t>
        <w:br/>
        <w:t xml:space="preserve">  "data": {}</w:t>
        <w:br/>
        <w:t>}</w:t>
      </w:r>
    </w:p>
    <w:p>
      <w:r>
        <w:t>ADR-SL-007 requires schema, schemaVersion, id (immutable prefixed GUID) and name on persisted Starlight JSON document roots. Nested reference/instance records are not independent document roots. Names and paths are mutable labels/locations. See Envelope applicability for assets, .addon and non-named documents.</w:t>
      </w:r>
    </w:p>
    <w:p>
      <w:pPr>
        <w:pStyle w:val="Heading1"/>
      </w:pPr>
      <w:r>
        <w:t>4. Project manifest example</w:t>
      </w:r>
    </w:p>
    <w:p>
      <w:pPr>
        <w:ind w:left="360" w:right="216"/>
      </w:pPr>
      <w:r>
        <w:rPr>
          <w:rFonts w:ascii="Consolas" w:hAnsi="Consolas"/>
          <w:sz w:val="17"/>
        </w:rPr>
        <w:t>{</w:t>
        <w:br/>
        <w:t xml:space="preserve">  "schema": "starlight.project",</w:t>
        <w:br/>
        <w:t xml:space="preserve">  "schemaVersion": 1,</w:t>
        <w:br/>
        <w:t xml:space="preserve">  "id": "project:00000001-1a2b-4c3d-8e9f-0123456789ab",</w:t>
        <w:br/>
        <w:t xml:space="preserve">  "name": "MyGame",</w:t>
        <w:br/>
        <w:t xml:space="preserve">  "engine": {</w:t>
        <w:br/>
        <w:t xml:space="preserve">    "minimum": "0.1.0"</w:t>
        <w:br/>
        <w:t xml:space="preserve">  },</w:t>
        <w:br/>
        <w:t xml:space="preserve">  "startupLayout": "layout:00000002-1a2b-4c3d-8e9f-0123456789ab",</w:t>
        <w:br/>
        <w:t xml:space="preserve">  "addons": [</w:t>
        <w:br/>
        <w:t xml:space="preserve">    {</w:t>
        <w:br/>
        <w:t xml:space="preserve">      "packageId": "com.starlight.standard",</w:t>
        <w:br/>
        <w:t xml:space="preserve">      "version": "1.0.0"</w:t>
        <w:br/>
        <w:t xml:space="preserve">    }</w:t>
        <w:br/>
        <w:t xml:space="preserve">  ],</w:t>
        <w:br/>
        <w:t xml:space="preserve">  "buildProfiles": [</w:t>
        <w:br/>
        <w:t xml:space="preserve">    "Development",</w:t>
        <w:br/>
        <w:t xml:space="preserve">    "Release"</w:t>
        <w:br/>
        <w:t xml:space="preserve">  ]</w:t>
        <w:br/>
        <w:t>}</w:t>
      </w:r>
    </w:p>
    <w:p>
      <w:pPr>
        <w:pStyle w:val="Heading1"/>
      </w:pPr>
      <w:r>
        <w:t>5. Asset metadata example</w:t>
      </w:r>
    </w:p>
    <w:p>
      <w:pPr>
        <w:ind w:left="360" w:right="216"/>
      </w:pPr>
      <w:r>
        <w:rPr>
          <w:rFonts w:ascii="Consolas" w:hAnsi="Consolas"/>
          <w:sz w:val="17"/>
        </w:rPr>
        <w:t>{</w:t>
        <w:br/>
        <w:t xml:space="preserve">  "schema": "starlight.asset-meta",</w:t>
        <w:br/>
        <w:t xml:space="preserve">  "schemaVersion": 1,</w:t>
        <w:br/>
        <w:t xml:space="preserve">  "id": "asset:f54d0e9a-5a42-4dd4-9b4f-9a11d61bca62",</w:t>
        <w:br/>
        <w:t xml:space="preserve">  "name": "Player texture",</w:t>
        <w:br/>
        <w:t xml:space="preserve">  "type": "texture",</w:t>
        <w:br/>
        <w:t xml:space="preserve">  "importer": {</w:t>
        <w:br/>
        <w:t xml:space="preserve">    "id": "starlight.texture",</w:t>
        <w:br/>
        <w:t xml:space="preserve">    "version": 1</w:t>
        <w:br/>
        <w:t xml:space="preserve">  },</w:t>
        <w:br/>
        <w:t xml:space="preserve">  "settings": {</w:t>
        <w:br/>
        <w:t xml:space="preserve">    "sampling": "point",</w:t>
        <w:br/>
        <w:t xml:space="preserve">    "colorSpace": "srgb"</w:t>
        <w:br/>
        <w:t xml:space="preserve">  },</w:t>
        <w:br/>
        <w:t xml:space="preserve">  "contentHash": "0000000000000000000000000000000000000000000000000000000000000000",</w:t>
        <w:br/>
        <w:t xml:space="preserve">  "dependencies": []</w:t>
        <w:br/>
        <w:t>}</w:t>
      </w:r>
    </w:p>
    <w:p>
      <w:pPr>
        <w:pStyle w:val="Heading1"/>
      </w:pPr>
      <w:r>
        <w:t>6. Object-Ref example</w:t>
      </w:r>
    </w:p>
    <w:p>
      <w:pPr>
        <w:ind w:left="360" w:right="216"/>
      </w:pPr>
      <w:r>
        <w:rPr>
          <w:rFonts w:ascii="Consolas" w:hAnsi="Consolas"/>
          <w:sz w:val="17"/>
        </w:rPr>
        <w:t>{</w:t>
        <w:br/>
        <w:t xml:space="preserve">  "schema": "starlight.object",</w:t>
        <w:br/>
        <w:t xml:space="preserve">  "schemaVersion": 1,</w:t>
        <w:br/>
        <w:t xml:space="preserve">  "id": "object:00000004-1a2b-4c3d-8e9f-0123456789ab",</w:t>
        <w:br/>
        <w:t xml:space="preserve">  "name": "Player",</w:t>
        <w:br/>
        <w:t xml:space="preserve">  "components": [</w:t>
        <w:br/>
        <w:t xml:space="preserve">    {</w:t>
        <w:br/>
        <w:t xml:space="preserve">      "slotId": "body",</w:t>
        <w:br/>
        <w:t xml:space="preserve">      "pluginId": "com.starlight.standard:sprite",</w:t>
        <w:br/>
        <w:t xml:space="preserve">      "properties": {</w:t>
        <w:br/>
        <w:t xml:space="preserve">        "texture": "asset:f54d0e9a-5a42-4dd4-9b4f-9a11d61bca62"</w:t>
        <w:br/>
        <w:t xml:space="preserve">      }</w:t>
        <w:br/>
        <w:t xml:space="preserve">    }</w:t>
        <w:br/>
        <w:t xml:space="preserve">  ],</w:t>
        <w:br/>
        <w:t xml:space="preserve">  "behaviors": [],</w:t>
        <w:br/>
        <w:t xml:space="preserve">  "variables": [],</w:t>
        <w:br/>
        <w:t xml:space="preserve">  "eventSheets": [</w:t>
        <w:br/>
        <w:t xml:space="preserve">    "event:00000005-1a2b-4c3d-8e9f-0123456789ab"</w:t>
        <w:br/>
        <w:t xml:space="preserve">  ],</w:t>
        <w:br/>
        <w:t xml:space="preserve">  "families": []</w:t>
        <w:br/>
        <w:t>}</w:t>
      </w:r>
    </w:p>
    <w:p>
      <w:pPr>
        <w:pStyle w:val="Heading1"/>
      </w:pPr>
      <w:r>
        <w:t>7. Layout instance reference</w:t>
      </w:r>
    </w:p>
    <w:p>
      <w:pPr>
        <w:ind w:left="360" w:right="216"/>
      </w:pPr>
      <w:r>
        <w:rPr>
          <w:rFonts w:ascii="Consolas" w:hAnsi="Consolas"/>
          <w:sz w:val="17"/>
        </w:rPr>
        <w:t>{</w:t>
        <w:br/>
        <w:t xml:space="preserve">  "uid": "instance:00000008-1a2b-4c3d-8e9f-0123456789ab",</w:t>
        <w:br/>
        <w:t xml:space="preserve">  "objectRef": "object:00000004-1a2b-4c3d-8e9f-0123456789ab",</w:t>
        <w:br/>
        <w:t xml:space="preserve">  "layer": "layer:0000000a-1a2b-4c3d-8e9f-0123456789ab",</w:t>
        <w:br/>
        <w:t xml:space="preserve">  "transform": {</w:t>
        <w:br/>
        <w:t xml:space="preserve">    "x": 320,</w:t>
        <w:br/>
        <w:t xml:space="preserve">    "y": 180,</w:t>
        <w:br/>
        <w:t xml:space="preserve">    "z": 0,</w:t>
        <w:br/>
        <w:t xml:space="preserve">    "angle": 0</w:t>
        <w:br/>
        <w:t xml:space="preserve">  },</w:t>
        <w:br/>
        <w:t xml:space="preserve">  "overrides": {},</w:t>
        <w:br/>
        <w:t xml:space="preserve">  "tags": [</w:t>
        <w:br/>
        <w:t xml:space="preserve">    "spawn"</w:t>
        <w:br/>
        <w:t xml:space="preserve">  ]</w:t>
        <w:br/>
        <w:t>}</w:t>
      </w:r>
    </w:p>
    <w:p>
      <w:pPr>
        <w:pStyle w:val="Heading1"/>
      </w:pPr>
      <w:r>
        <w:t>8. Level/tileset contracts</w:t>
      </w:r>
    </w:p>
    <w:p>
      <w:r>
        <w:t>A .level stores semantic/grid/entity data and references tilesets. A .tileset stores tile slicing, collision/metadata, terrain definitions, auto-tile presets and custom rule sets. Generated visual layers may be reproducible from semantic layers and rules; the format must mark whether generated tiles are canonical authored overrides or derived output.</w:t>
      </w:r>
    </w:p>
    <w:p>
      <w:pPr>
        <w:pStyle w:val="Heading1"/>
      </w:pPr>
      <w:r>
        <w:t>9. Addon manifest</w:t>
      </w:r>
    </w:p>
    <w:p>
      <w:pPr>
        <w:ind w:left="360" w:right="216"/>
      </w:pPr>
      <w:r>
        <w:rPr>
          <w:rFonts w:ascii="Consolas" w:hAnsi="Consolas"/>
          <w:sz w:val="17"/>
        </w:rPr>
        <w:t>{</w:t>
        <w:br/>
        <w:t xml:space="preserve">  "schema": "starlight.addon",</w:t>
        <w:br/>
        <w:t xml:space="preserve">  "schemaVersion": 1,</w:t>
        <w:br/>
        <w:t xml:space="preserve">  "id": "addon:0000000b-1a2b-4c3d-8e9f-0123456789ab",</w:t>
        <w:br/>
        <w:t xml:space="preserve">  "name": "Example Platformer",</w:t>
        <w:br/>
        <w:t xml:space="preserve">  "packageId": "com.example.platformer",</w:t>
        <w:br/>
        <w:t xml:space="preserve">  "version": "1.0.0",</w:t>
        <w:br/>
        <w:t xml:space="preserve">  "kind": "behavior",</w:t>
        <w:br/>
        <w:t xml:space="preserve">  "editor": {</w:t>
        <w:br/>
        <w:t xml:space="preserve">    "metadata": "schemas/behavior.json"</w:t>
        <w:br/>
        <w:t xml:space="preserve">  },</w:t>
        <w:br/>
        <w:t xml:space="preserve">  "runtime": {</w:t>
        <w:br/>
        <w:t xml:space="preserve">    "assembly": "Example.Platformer.dll"</w:t>
        <w:br/>
        <w:t xml:space="preserve">  },</w:t>
        <w:br/>
        <w:t xml:space="preserve">  "capabilities": [</w:t>
        <w:br/>
        <w:t xml:space="preserve">    "2d.physics"</w:t>
        <w:br/>
        <w:t xml:space="preserve">  ],</w:t>
        <w:br/>
        <w:t xml:space="preserve">  "targets": [</w:t>
        <w:br/>
        <w:t xml:space="preserve">    "desktop"</w:t>
        <w:br/>
        <w:t xml:space="preserve">  ]</w:t>
        <w:br/>
        <w:t>}</w:t>
      </w:r>
    </w:p>
    <w:p>
      <w:pPr>
        <w:pStyle w:val="Heading1"/>
      </w:pPr>
      <w:r>
        <w:t>10. Migration policy</w:t>
      </w:r>
    </w:p>
    <w:p>
      <w:pPr>
        <w:pStyle w:val="ListBullet"/>
      </w:pPr>
      <w:r>
        <w:t>Never reinterpret old fields silently when semantics changed.</w:t>
      </w:r>
    </w:p>
    <w:p>
      <w:pPr>
        <w:pStyle w:val="ListBullet"/>
      </w:pPr>
      <w:r>
        <w:t>Migration is schema-version based and produces a clear diagnostic/backup.</w:t>
      </w:r>
    </w:p>
    <w:p>
      <w:pPr>
        <w:pStyle w:val="ListBullet"/>
      </w:pPr>
      <w:r>
        <w:t>Public addon schemas require stable member IDs for actions/conditions/expressions where renaming must not break Event Sheets.</w:t>
      </w:r>
    </w:p>
    <w:p>
      <w:pPr>
        <w:pStyle w:val="ListBullet"/>
      </w:pPr>
      <w:r>
        <w:t>ADR-SL-006: unknown optional metadata MUST be preserved; unknown required capabilities block Build. Opening or saving supported edits must not delete opaque fields or missing-plugin payloads.</w:t>
      </w:r>
    </w:p>
    <w:p>
      <w:pPr>
        <w:pStyle w:val="Heading1"/>
      </w:pPr>
      <w:r>
        <w:t>Basis and relationship to prior studies</w:t>
      </w:r>
    </w:p>
    <w:p>
      <w:r>
        <w:t>This document turns previously studied architecture and the current Starlight objectives into a project-specific contract. The studies are references, not implementation dependencies: Starlight keeps its own project model and runtime boundaries.</w:t>
      </w:r>
    </w:p>
    <w:p>
      <w:pPr>
        <w:pStyle w:val="ListBullet"/>
      </w:pPr>
      <w:r>
        <w:t>Engine objectives: Objetivos com a engine.md</w:t>
      </w:r>
    </w:p>
    <w:p>
      <w:pPr>
        <w:pStyle w:val="ListBullet"/>
      </w:pPr>
      <w:r>
        <w:t>MonoGame study: MonoGame_Runtime_Architecture_Study_for_Starlight_Engine.docx</w:t>
      </w:r>
    </w:p>
    <w:p>
      <w:pPr>
        <w:pStyle w:val="ListBullet"/>
      </w:pPr>
      <w:r>
        <w:t>FlatRedBall/Gum study: FlatRedBall_Gum_Architecture_Study_for_Starlight_Engine.docx</w:t>
      </w:r>
    </w:p>
    <w:p>
      <w:pPr>
        <w:pStyle w:val="ListBullet"/>
      </w:pPr>
      <w:r>
        <w:t>GDevelop/Construct study: GDevelop5_Construct3_Architecture_Study_for_Starlight_Engi.docx</w:t>
      </w:r>
    </w:p>
    <w:p>
      <w:pPr>
        <w:pStyle w:val="Heading1"/>
      </w:pPr>
      <w:r>
        <w:t>Applicable architectural decisions</w:t>
      </w:r>
    </w:p>
    <w:p>
      <w:r>
        <w:t>Normative authority: Questões em Aberto - Decisões.md. This document develops ADR-SL-003, ADR-SL-004, ADR-SL-005, ADR-SL-006, ADR-SL-007, ADR-SL-009, ADR-SL-011, ADR-SL-014, ADR-SL-019, ADR-SL-022. New candidate ADRs below do not amend the approved decisions.</w:t>
      </w:r>
    </w:p>
    <w:p>
      <w:pPr>
        <w:pStyle w:val="Heading1"/>
      </w:pPr>
      <w:r>
        <w:t>Identity policy</w:t>
      </w:r>
    </w:p>
    <w:p>
      <w:r>
        <w:t>Implementation spelling for the approved prefixed GUID: lowercase kind + colon + a complete UUID in canonical D format (8-4-4-4-12 hex digits). Examples use valid UUID fixtures, not truncated ellipses. Prefer random UUID generation independent of path/content/name; validate uniqueness and retain existing identity across rename/move. A parser distinguishes the prefix and UUID; the entire prefixed string is not passed directly to Guid.Parse.</w:t>
      </w:r>
    </w:p>
    <w:p>
      <w:r>
        <w:t>AssetGuid identifies an imported source asset in project/package scope; .meta owns it. ResourceGuid identifies authored Layout, Level, Object-Ref, Family, Event Sheet or tileset resources. .tileset is an authored ResourceGuid, although it participates in the asset graph; do not create a second asset identity for the same canonical document. Cross-package references must resolve unambiguously; conflicting GUIDs are errors (04).</w:t>
      </w:r>
    </w:p>
    <w:p>
      <w:r>
        <w:t>Instance UID is a persistent prefixed UUID owned by its authored Layout/Level or composition; validate its uniqueness across authored project records and resolve it with owner/placement context for reused resources. Copy generates a new UID. A numeric display alias does not replace canonical identity (05). EntityId is an opaque runtime world/session identifier (implementation may use index plus generation); reuse must not make stale handles resolve to a new entity. EntityId is neither ResourceGuid nor saved-game identity.</w:t>
      </w:r>
    </w:p>
    <w:p>
      <w:r>
        <w:t>Addon package ID is a stable reverse-domain namespace, e.g. com.example.platformer; package version identifies a release and does not change the logical package ID. Plugin/Behavior IDs are stable namespaced capability strings, e.g. com.starlight.standard:sprite. ACE IDs name operations, e.g. com.starlight.platformer:jump, independent of CLR/display names. Property, component and behavior slot IDs are stable within their declared owner/schema. Removing or reusing an ID for different semantics requires migration, never a silent rename.</w:t>
      </w:r>
    </w:p>
    <w:p>
      <w:r>
        <w:t>SourceId is a UUID for each Event AST node/instruction, preserved through edits/moves; copying a node creates a new SourceId. Diagnostics resolve (EventSheet ResourceGuid, SourceId, build/source-map revision). Package identity, capability IDs and ACE IDs are not required to be UUIDs; they are not the root document id in the proposed .addon clarification below.</w:t>
      </w:r>
    </w:p>
    <w:p>
      <w:r>
        <w:t>C# source referenced by an Object-Ref/project is an imported script asset with adjacent .cs.meta and AssetGuid. Its sidecar selects a C# importer and records dependencies; the source .cs remains text, not wrapped in JSON. A generated registry binds the script AssetGuid and a stable exported entry/member ID to the compiled type/method. Do not persist assembly-qualified CLR names, filenames or source paths as sole script identity. Type refactors update bindings or produce diagnostics without changing script GUID; generated C# has no canonical script identity of its own.</w:t>
      </w:r>
    </w:p>
    <w:p>
      <w:pPr>
        <w:pStyle w:val="Heading1"/>
      </w:pPr>
      <w:r>
        <w:t>Envelope applicability and candidate ADR SL 026</w:t>
      </w:r>
    </w:p>
    <w:p>
      <w:r>
        <w:t>Approved envelope applies to .starlight (project), .layout, .level, .object, .event, .tileset, .meta (asset-meta) and .addon. SchemaVersion starts at 1 independently for each schema. Every complete JSON document example includes schema/schemaVersion/id/name. The Layout instance reference and the asset reference in 04 are nested records, not incomplete root envelopes. The Asset Database record in 04 is a derived index entry, not a canonical sidecar.</w:t>
      </w:r>
    </w:p>
    <w:p>
      <w:r>
        <w:t>Status: Proposed / Pending Approval — ADR-SL-026. The mandatory name and prefixed-GUID id conflict with earlier unnamed .meta examples and the package string used as .addon id. Recommend retaining all four envelope fields: .meta name is a mutable display label (initially source filename); .addon id is a persistent descriptor GUID with a separate stable packageId namespace. Alternatives: relax the ADR envelope for these schemas (breaks its uniform rule), or force package IDs into UUIDs (breaks readable stable capability namespaces). The examples use the recommended candidate encoding; final DTO/schema generation must await this decision.</w:t>
      </w:r>
    </w:p>
    <w:p>
      <w:r>
        <w:t>Non-nameable persisted JSON such as local preferences, index snapshots and generated manifests also needs an explicit scope decision because ADR-SL-007 says all persisted documents. Recommend uniform envelope using descriptive role names and derived artifact identity/provenance; nested records have no independent envelope. Raw imported files, .cs, XNB and binaries are not Starlight JSON documents. Do not silently strip name, conflate a cache ID with canonical asset identity or assume every file is JSON. Exact generated/cache identity policy remains part of ADR-SL-026 approval.</w:t>
      </w:r>
    </w:p>
    <w:p>
      <w:pPr>
        <w:pStyle w:val="Heading1"/>
      </w:pPr>
      <w:r>
        <w:t>Deterministic serialization and safe migration</w:t>
      </w:r>
    </w:p>
    <w:p>
      <w:r>
        <w:t>System.Text.Json in the Host is authoritative. Generate frontend DTOs and formal schemas from C# contracts; TypeScript does not round-trip project files independently. Implementation policy: UTF-8, consistent indentation/newline, ordinal ordering of object keys including extension fields, culture-independent JSON numbers and no NaN/Infinity. Preserve array order wherever it represents event execution, layers, rule priorities or child ordering.</w:t>
      </w:r>
    </w:p>
    <w:p>
      <w:r>
        <w:t>Capture extension data at every extensible nested level, not only the root. Keep opaque plugin payloads as JsonElement/subtrees and preserve values, types and array ordering on load/save/Undo/Redo; deterministic key ordering may normalize whitespace or object-key order, so intact means semantic preservation rather than byte-identical formatting. Reject duplicate JSON property names and collisions between known and extension fields before mutating files.</w:t>
      </w:r>
    </w:p>
    <w:p>
      <w:r>
        <w:t>Migration validates the source schema version, stages a complete transformed result and preserves a backup before transactional replacement (03). Never reinterpret unknown required fields as defaults. A newer unsupported schema opens in a preservation/read-only mode unless a proven safe writer exists; missing optional metadata remains round-trippable, required capabilities block build. Unknown fields that become known need explicit migration and conflict checks.</w:t>
      </w:r>
    </w:p>
    <w:p>
      <w:r>
        <w:t>The JSON fixtures show syntax and identity conventions, not a complete runnable project or a claim that final JSON schemas exist. Referred layer/event definitions must exist in a real project. Version 0.1.0 and package 1.0.0 are fixture values, not selected implementation baselines. Composition fields needing approval must remain versioned and opaque until supported.</w:t>
      </w:r>
    </w:p>
    <w:p>
      <w:pPr>
        <w:pStyle w:val="Heading2"/>
      </w:pPr>
      <w:r>
        <w:t>Level fixture with one logical chunk</w:t>
      </w:r>
    </w:p>
    <w:p>
      <w:pPr>
        <w:keepLines w:val="0"/>
      </w:pPr>
      <w:r>
        <w:rPr>
          <w:rFonts w:ascii="Consolas" w:hAnsi="Consolas"/>
          <w:sz w:val="18"/>
        </w:rPr>
        <w:t>{</w:t>
        <w:br/>
        <w:t xml:space="preserve">  "schema": "starlight.level",</w:t>
        <w:br/>
        <w:t xml:space="preserve">  "schemaVersion": 1,</w:t>
        <w:br/>
        <w:t xml:space="preserve">  "id": "level:00000003-1a2b-4c3d-8e9f-0123456789ab",</w:t>
        <w:br/>
        <w:t xml:space="preserve">  "name": "Room",</w:t>
        <w:br/>
        <w:t xml:space="preserve">  "orientation": "orthogonal",</w:t>
        <w:br/>
        <w:t xml:space="preserve">  "chunkSize": {</w:t>
        <w:br/>
        <w:t xml:space="preserve">    "width": 2,</w:t>
        <w:br/>
        <w:t xml:space="preserve">    "height": 2</w:t>
        <w:br/>
        <w:t xml:space="preserve">  },</w:t>
        <w:br/>
        <w:t xml:space="preserve">  "chunks": [</w:t>
        <w:br/>
        <w:t xml:space="preserve">    {</w:t>
        <w:br/>
        <w:t xml:space="preserve">      "x": 0,</w:t>
        <w:br/>
        <w:t xml:space="preserve">      "y": 0,</w:t>
        <w:br/>
        <w:t xml:space="preserve">      "semanticLayers": [</w:t>
        <w:br/>
        <w:t xml:space="preserve">        {</w:t>
        <w:br/>
        <w:t xml:space="preserve">          "id": "ground",</w:t>
        <w:br/>
        <w:t xml:space="preserve">          "cells": [</w:t>
        <w:br/>
        <w:t xml:space="preserve">            1,</w:t>
        <w:br/>
        <w:t xml:space="preserve">            1,</w:t>
        <w:br/>
        <w:t xml:space="preserve">            0,</w:t>
        <w:br/>
        <w:t xml:space="preserve">            0</w:t>
        <w:br/>
        <w:t xml:space="preserve">          ]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"tilesets": [</w:t>
        <w:br/>
        <w:t xml:space="preserve">    "tileset:00000006-1a2b-4c3d-8e9f-0123456789ab"</w:t>
        <w:br/>
        <w:t xml:space="preserve">  ]</w:t>
        <w:br/>
        <w:t>}</w:t>
      </w:r>
    </w:p>
    <w:p>
      <w:pPr>
        <w:pStyle w:val="Heading2"/>
      </w:pPr>
      <w:r>
        <w:t>Tileset fixture</w:t>
      </w:r>
    </w:p>
    <w:p>
      <w:pPr>
        <w:keepLines w:val="0"/>
      </w:pPr>
      <w:r>
        <w:rPr>
          <w:rFonts w:ascii="Consolas" w:hAnsi="Consolas"/>
          <w:sz w:val="18"/>
        </w:rPr>
        <w:t>{</w:t>
        <w:br/>
        <w:t xml:space="preserve">  "schema": "starlight.tileset",</w:t>
        <w:br/>
        <w:t xml:space="preserve">  "schemaVersion": 1,</w:t>
        <w:br/>
        <w:t xml:space="preserve">  "id": "tileset:00000006-1a2b-4c3d-8e9f-0123456789ab",</w:t>
        <w:br/>
        <w:t xml:space="preserve">  "name": "Ground",</w:t>
        <w:br/>
        <w:t xml:space="preserve">  "texture": "asset:f54d0e9a-5a42-4dd4-9b4f-9a11d61bca62",</w:t>
        <w:br/>
        <w:t xml:space="preserve">  "tileWidth": 16,</w:t>
        <w:br/>
        <w:t xml:space="preserve">  "tileHeight": 16,</w:t>
        <w:br/>
        <w:t xml:space="preserve">  "autoTilePreset": 16,</w:t>
        <w:br/>
        <w:t xml:space="preserve">  "rules": []</w:t>
        <w:br/>
        <w:t>}</w:t>
      </w:r>
    </w:p>
    <w:p>
      <w:pPr>
        <w:pStyle w:val="Heading2"/>
      </w:pPr>
      <w:r>
        <w:t>Typed Event AST fixture</w:t>
      </w:r>
    </w:p>
    <w:p>
      <w:pPr>
        <w:keepLines w:val="0"/>
      </w:pPr>
      <w:r>
        <w:rPr>
          <w:rFonts w:ascii="Consolas" w:hAnsi="Consolas"/>
          <w:sz w:val="18"/>
        </w:rPr>
        <w:t>{</w:t>
        <w:br/>
        <w:t xml:space="preserve">  "schema": "starlight.event",</w:t>
        <w:br/>
        <w:t xml:space="preserve">  "schemaVersion": 1,</w:t>
        <w:br/>
        <w:t xml:space="preserve">  "id": "event:00000005-1a2b-4c3d-8e9f-0123456789ab",</w:t>
        <w:br/>
        <w:t xml:space="preserve">  "name": "Player input",</w:t>
        <w:br/>
        <w:t xml:space="preserve">  "nodes": [</w:t>
        <w:br/>
        <w:t xml:space="preserve">    {</w:t>
        <w:br/>
        <w:t xml:space="preserve">      "kind": "standardEvent",</w:t>
        <w:br/>
        <w:t xml:space="preserve">      "sourceId": "a1111111-2222-4333-8444-555555555555",</w:t>
        <w:br/>
        <w:t xml:space="preserve">      "conditions": [</w:t>
        <w:br/>
        <w:t xml:space="preserve">        {</w:t>
        <w:br/>
        <w:t xml:space="preserve">          "kind": "condition",</w:t>
        <w:br/>
        <w:t xml:space="preserve">          "sourceId": "b1111111-2222-4333-8444-555555555555",</w:t>
        <w:br/>
        <w:t xml:space="preserve">          "aceId": "com.starlight.input:is-action-pressed",</w:t>
        <w:br/>
        <w:t xml:space="preserve">          "arguments": [</w:t>
        <w:br/>
        <w:t xml:space="preserve">            {</w:t>
        <w:br/>
        <w:t xml:space="preserve">              "kind": "literal",</w:t>
        <w:br/>
        <w:t xml:space="preserve">              "type": "string",</w:t>
        <w:br/>
        <w:t xml:space="preserve">              "value": "Jump"</w:t>
        <w:br/>
        <w:t xml:space="preserve">            }</w:t>
        <w:br/>
        <w:t xml:space="preserve">          ],</w:t>
        <w:br/>
        <w:t xml:space="preserve">          "inverted": false</w:t>
        <w:br/>
        <w:t xml:space="preserve">        }</w:t>
        <w:br/>
        <w:t xml:space="preserve">      ],</w:t>
        <w:br/>
        <w:t xml:space="preserve">      "actions": [],</w:t>
        <w:br/>
        <w:t xml:space="preserve">      "children": []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Composition and event contract links</w:t>
      </w:r>
    </w:p>
    <w:p>
      <w:r>
        <w:t>Object-Refs store component/behavior slots and definitions; Layout/Level instances store persistent UID, transform and overrides. Family association is not class inheritance, and Container ownership is not a precedence tier (05, ADR-SL-008/011). Proposed child-slot/parent and transform encodings must not masquerade as approved schema requirements. The DTO must retain extension data so the MVP subset does not discard future composition data.</w:t>
      </w:r>
    </w:p>
    <w:p>
      <w:r>
        <w:t>Event AST uses typed expressions, stable ACE IDs and SourceId (ADR-SL-009/014). It stores source semantics, not generated C# strings or runtime selections. SelectionFrame and correlated instance tuples are IR/runtime concepts specified in 09; no serialized EntityId is a durable event reference. Schemas must validate node kinds, target capability, argument/return types, variable scope, references and source identity before generation.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