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Starlight Level Editor &amp; Tile Rule System</w:t>
      </w:r>
    </w:p>
    <w:p>
      <w:pPr>
        <w:pStyle w:val="Subtitle"/>
        <w:jc w:val="center"/>
      </w:pPr>
      <w:r>
        <w:t>Reusable Level assets, semantic grids, auto-tiling, terrain rules, custom rules and entity placement</w:t>
      </w:r>
    </w:p>
    <w:p>
      <w:pPr>
        <w:jc w:val="center"/>
      </w:pPr>
      <w:r>
        <w:rPr>
          <w:b/>
        </w:rPr>
        <w:t>Starlight Engine Architecture Definition • 5 October 2026</w:t>
      </w:r>
    </w:p>
    <w:p>
      <w:r>
        <w:t>Status: Consolidated against ADR-SL-001 through ADR-SL-022, 14 October 2026. Normative means approved contract or direct clarification of it. Proposed / Pending Approval is not an implementation mandate. Deferred means explicitly outside the current delivery scope. See document 00 and the decision register.</w:t>
      </w:r>
    </w:p>
    <w:p>
      <w:r>
        <w:br w:type="page"/>
      </w:r>
    </w:p>
    <w:p>
      <w:pPr>
        <w:pStyle w:val="Heading1"/>
      </w:pPr>
      <w:r>
        <w:t>1. Position in the engine</w:t>
      </w:r>
    </w:p>
    <w:p>
      <w:r>
        <w:t>Normative: the Level Editor is a specialized tool inside the broader Layout authoring workflow. Layout is the complete scene/room; Level is a reusable spatial/grid asset that can be referenced by one or more Layouts.</w:t>
      </w:r>
    </w:p>
    <w:p>
      <w:pPr>
        <w:pStyle w:val="Heading1"/>
      </w:pPr>
      <w:r>
        <w:t>2. Design references</w:t>
      </w:r>
    </w:p>
    <w:p>
      <w:r>
        <w:t>The design intentionally combines concepts inspired by LDtk and Tiled while keeping a Starlight-native format. LDtk is a reference for semantic/IntGrid-driven authoring and auto-layers. Tiled is a reference for terrain/Wang-style transitions, flexible tile layers, object/entity placement and rule-based automapping. Import/export can be added later; neither external format is the canonical Starlight format.</w:t>
      </w:r>
    </w:p>
    <w:p>
      <w:pPr>
        <w:pStyle w:val="Heading1"/>
      </w:pPr>
      <w:r>
        <w:t>3. Level model</w:t>
      </w:r>
    </w:p>
    <w:p>
      <w:pPr>
        <w:ind w:left="360" w:right="216"/>
      </w:pPr>
      <w:r>
        <w:rPr>
          <w:rFonts w:ascii="Consolas" w:hAnsi="Consolas"/>
          <w:sz w:val="17"/>
        </w:rPr>
        <w:t>Level</w:t>
        <w:br/>
        <w:t>├─ Grid settings</w:t>
        <w:br/>
        <w:t>├─ Semantic / IntGrid layers</w:t>
        <w:br/>
        <w:t>├─ Tile layers</w:t>
        <w:br/>
        <w:t>├─ Auto layers</w:t>
        <w:br/>
        <w:t>├─ Entity layers</w:t>
        <w:br/>
        <w:t>├─ Rule sets</w:t>
        <w:br/>
        <w:t>├─ Tileset references</w:t>
        <w:br/>
        <w:t>├─ Addressable chunks (required schema from ADR-SL-019)</w:t>
        <w:br/>
        <w:t>└─ Metadata</w:t>
      </w:r>
    </w:p>
    <w:p>
      <w:pPr>
        <w:pStyle w:val="Heading1"/>
      </w:pPr>
      <w:r>
        <w:t>4. Semantic-first authoring</w:t>
      </w:r>
    </w:p>
    <w:p>
      <w:r>
        <w:t>Gameplay meaning should not depend on a visual tile number. A semantic cell may be Ground, Water, Wall, Lava, Ladder or Ice; tile rules select its visual representation. Runtime systems may query semantic cells directly, allowing art replacement without rewriting gameplay logic.</w:t>
      </w:r>
    </w:p>
    <w:p>
      <w:pPr>
        <w:ind w:left="360" w:right="216"/>
      </w:pPr>
      <w:r>
        <w:rPr>
          <w:rFonts w:ascii="Consolas" w:hAnsi="Consolas"/>
          <w:sz w:val="17"/>
        </w:rPr>
        <w:t>Semantic: WATER → visual rule evaluation → water edge/corner/center tiles</w:t>
        <w:br/>
        <w:t>Gameplay: Level.GetCellType(x,y) == Water</w:t>
        <w:br/>
        <w:t>NOT: tileId == 173</w:t>
      </w:r>
    </w:p>
    <w:p>
      <w:pPr>
        <w:pStyle w:val="Heading1"/>
      </w:pPr>
      <w:r>
        <w:t>5. Auto Tile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Mode</w:t>
            </w:r>
          </w:p>
        </w:tc>
        <w:tc>
          <w:tcPr>
            <w:tcW w:type="dxa" w:w="4968"/>
            <w:shd w:fill="D9EAF7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None</w:t>
            </w:r>
          </w:p>
        </w:tc>
        <w:tc>
          <w:tcPr>
            <w:tcW w:type="dxa" w:w="4968"/>
          </w:tcPr>
          <w:p>
            <w:r>
              <w:t>Manual tile placement.</w:t>
            </w:r>
          </w:p>
        </w:tc>
      </w:tr>
      <w:tr>
        <w:tc>
          <w:tcPr>
            <w:tcW w:type="dxa" w:w="4968"/>
          </w:tcPr>
          <w:p>
            <w:r>
              <w:t>16-tile preset</w:t>
            </w:r>
          </w:p>
        </w:tc>
        <w:tc>
          <w:tcPr>
            <w:tcW w:type="dxa" w:w="4968"/>
          </w:tcPr>
          <w:p>
            <w:r>
              <w:t>Common compact neighborhood transition set.</w:t>
            </w:r>
          </w:p>
        </w:tc>
      </w:tr>
      <w:tr>
        <w:tc>
          <w:tcPr>
            <w:tcW w:type="dxa" w:w="4968"/>
          </w:tcPr>
          <w:p>
            <w:r>
              <w:t>47-tile preset</w:t>
            </w:r>
          </w:p>
        </w:tc>
        <w:tc>
          <w:tcPr>
            <w:tcW w:type="dxa" w:w="4968"/>
          </w:tcPr>
          <w:p>
            <w:r>
              <w:t>Blob-style complete edge/inner-corner transitions.</w:t>
            </w:r>
          </w:p>
        </w:tc>
      </w:tr>
      <w:tr>
        <w:tc>
          <w:tcPr>
            <w:tcW w:type="dxa" w:w="4968"/>
          </w:tcPr>
          <w:p>
            <w:r>
              <w:t>Terrain/Wang-style</w:t>
            </w:r>
          </w:p>
        </w:tc>
        <w:tc>
          <w:tcPr>
            <w:tcW w:type="dxa" w:w="4968"/>
          </w:tcPr>
          <w:p>
            <w:r>
              <w:t>Edge/corner/mixed terrain transitions.</w:t>
            </w:r>
          </w:p>
        </w:tc>
      </w:tr>
      <w:tr>
        <w:tc>
          <w:tcPr>
            <w:tcW w:type="dxa" w:w="4968"/>
          </w:tcPr>
          <w:p>
            <w:r>
              <w:t>Custom Rules</w:t>
            </w:r>
          </w:p>
        </w:tc>
        <w:tc>
          <w:tcPr>
            <w:tcW w:type="dxa" w:w="4968"/>
          </w:tcPr>
          <w:p>
            <w:r>
              <w:t>Pattern → output rules with conditions, priorities and weighted alternatives.</w:t>
            </w:r>
          </w:p>
        </w:tc>
      </w:tr>
    </w:tbl>
    <w:p>
      <w:pPr>
        <w:pStyle w:val="Heading1"/>
      </w:pPr>
      <w:r>
        <w:t>6. Generic Tile Rule Engine</w:t>
      </w:r>
    </w:p>
    <w:p>
      <w:pPr>
        <w:ind w:left="360" w:right="216"/>
      </w:pPr>
      <w:r>
        <w:rPr>
          <w:rFonts w:ascii="Consolas" w:hAnsi="Consolas"/>
          <w:sz w:val="17"/>
        </w:rPr>
        <w:t>Neighborhood matcher</w:t>
        <w:br/>
        <w:t>? 1 ?</w:t>
        <w:br/>
        <w:t>1 X 0     → Output: Grass_Right_Edge</w:t>
        <w:br/>
        <w:t>? 1 ?</w:t>
        <w:br/>
        <w:br/>
        <w:t>1 = same semantic/terrain</w:t>
        <w:br/>
        <w:t>0 = different/empty</w:t>
        <w:br/>
        <w:t>? = ignored</w:t>
      </w:r>
    </w:p>
    <w:p>
      <w:r>
        <w:t>16-tile and 47-tile are presets compiled into the same generic rule system, not separate runtime architectures.</w:t>
      </w:r>
    </w:p>
    <w:p>
      <w:pPr>
        <w:pStyle w:val="Heading1"/>
      </w:pPr>
      <w:r>
        <w:t>7. Rule features</w:t>
      </w:r>
    </w:p>
    <w:p>
      <w:pPr>
        <w:pStyle w:val="ListBullet"/>
      </w:pPr>
      <w:r>
        <w:t>Orthogonal neighborhood matching first; architecture should not permanently assume fixed-size maps.</w:t>
      </w:r>
    </w:p>
    <w:p>
      <w:pPr>
        <w:pStyle w:val="ListBullet"/>
      </w:pPr>
      <w:r>
        <w:t>Priority/order and conflict diagnostics.</w:t>
      </w:r>
    </w:p>
    <w:p>
      <w:pPr>
        <w:pStyle w:val="ListBullet"/>
      </w:pPr>
      <w:r>
        <w:t>Weighted visual alternatives for variation.</w:t>
      </w:r>
    </w:p>
    <w:p>
      <w:pPr>
        <w:pStyle w:val="ListBullet"/>
      </w:pPr>
      <w:r>
        <w:t>Rule dependencies on semantic layer values and optionally neighboring generated state, with cycle prevention.</w:t>
      </w:r>
    </w:p>
    <w:p>
      <w:pPr>
        <w:pStyle w:val="ListBullet"/>
      </w:pPr>
      <w:r>
        <w:t>Manual override cells that survive regeneration when explicitly marked.</w:t>
      </w:r>
    </w:p>
    <w:p>
      <w:pPr>
        <w:pStyle w:val="ListBullet"/>
      </w:pPr>
      <w:r>
        <w:t>Deterministic seed option for reproducible procedural decoration.</w:t>
      </w:r>
    </w:p>
    <w:p>
      <w:pPr>
        <w:pStyle w:val="Heading1"/>
      </w:pPr>
      <w:r>
        <w:t>8. Entity layers</w:t>
      </w:r>
    </w:p>
    <w:p>
      <w:r>
        <w:t>Entity placement should reference Starlight Object-Refs rather than inventing a parallel Tiled-style object-template system. A level entity stores Object-Ref ID, position/grid anchor and permitted overrides. The instantiated game object still follows the normal Object-Ref/Instance model.</w:t>
      </w:r>
    </w:p>
    <w:p>
      <w:pPr>
        <w:pStyle w:val="Heading1"/>
      </w:pPr>
      <w:r>
        <w:t>9. Reuse</w:t>
      </w:r>
    </w:p>
    <w:p>
      <w:r>
        <w:t>The same Forest.level may be referenced by ForestMorning.layout, ForestNight.layout and ForestRain.layout, each adding different lighting, objects, particles, music and Event Sheets without duplicating level geometry.</w:t>
      </w:r>
    </w:p>
    <w:p>
      <w:pPr>
        <w:pStyle w:val="Heading1"/>
      </w:pPr>
      <w:r>
        <w:t>10. Chunking and orientations</w:t>
      </w:r>
    </w:p>
    <w:p>
      <w:r>
        <w:t>ADR-SL-019: MVP supports fixed-size orthogonal maps represented as one logical chunk. The .level schema already stores grids inside coordinate-addressed chunk collections with orientation metadata; a root-wide fixed matrix is not allowed. Multiple-chunk streaming, isometric, staggered and hexagonal maps are post-MVP.</w:t>
      </w:r>
    </w:p>
    <w:p>
      <w:pPr>
        <w:pStyle w:val="Heading1"/>
      </w:pPr>
      <w:r>
        <w:t>11. Runtime build</w:t>
      </w:r>
    </w:p>
    <w:p>
      <w:pPr>
        <w:ind w:left="360" w:right="216"/>
      </w:pPr>
      <w:r>
        <w:rPr>
          <w:rFonts w:ascii="Consolas" w:hAnsi="Consolas"/>
          <w:sz w:val="17"/>
        </w:rPr>
        <w:t>Level source + Tileset + RuleSets</w:t>
        <w:br/>
        <w:t xml:space="preserve">        ↓ resolve/generate</w:t>
        <w:br/>
        <w:t>Resolved Level Build Data</w:t>
        <w:br/>
        <w:t xml:space="preserve">        ├─ visual tile chunks</w:t>
        <w:br/>
        <w:t xml:space="preserve">        ├─ semantic cells</w:t>
        <w:br/>
        <w:t xml:space="preserve">        ├─ entity placements</w:t>
        <w:br/>
        <w:t xml:space="preserve">        └─ collision/navigation derived data (optional)</w:t>
        <w:br/>
        <w:t xml:space="preserve">        ↓</w:t>
        <w:br/>
        <w:t>Runtime Level resource</w:t>
      </w:r>
    </w:p>
    <w:p>
      <w:pPr>
        <w:pStyle w:val="Heading1"/>
      </w:pPr>
      <w:r>
        <w:t>12. External interchange</w:t>
      </w:r>
    </w:p>
    <w:p>
      <w:pPr>
        <w:pStyle w:val="ListBullet"/>
      </w:pPr>
      <w:r>
        <w:t>Future LDtk importer maps IntGrid/entities/tiles to Starlight Level semantics.</w:t>
      </w:r>
    </w:p>
    <w:p>
      <w:pPr>
        <w:pStyle w:val="ListBullet"/>
      </w:pPr>
      <w:r>
        <w:t>Future Tiled importer maps layers, tilesets, terrain and objects to Starlight equivalents.</w:t>
      </w:r>
    </w:p>
    <w:p>
      <w:pPr>
        <w:pStyle w:val="ListBullet"/>
      </w:pPr>
      <w:r>
        <w:t>Import must mint/preserve Starlight GUIDs and should not make external file IDs authoritative inside the project.</w:t>
      </w:r>
    </w:p>
    <w:p>
      <w:pPr>
        <w:pStyle w:val="Heading1"/>
      </w:pPr>
      <w:r>
        <w:t>Basis and relationship to prior studies</w:t>
      </w:r>
    </w:p>
    <w:p>
      <w:r>
        <w:t>This document turns previously studied architecture and the current Starlight objectives into a project-specific contract. The studies are references, not implementation dependencies: Starlight keeps its own project model and runtime boundaries.</w:t>
      </w:r>
    </w:p>
    <w:p>
      <w:pPr>
        <w:pStyle w:val="ListBullet"/>
      </w:pPr>
      <w:r>
        <w:t>Engine objectives: Objetivos com a engine.md</w:t>
      </w:r>
    </w:p>
    <w:p>
      <w:pPr>
        <w:pStyle w:val="ListBullet"/>
      </w:pPr>
      <w:r>
        <w:t>MonoGame study: MonoGame_Runtime_Architecture_Study_for_Starlight_Engine.docx</w:t>
      </w:r>
    </w:p>
    <w:p>
      <w:pPr>
        <w:pStyle w:val="ListBullet"/>
      </w:pPr>
      <w:r>
        <w:t>FlatRedBall/Gum study: FlatRedBall_Gum_Architecture_Study_for_Starlight_Engine.docx</w:t>
      </w:r>
    </w:p>
    <w:p>
      <w:pPr>
        <w:pStyle w:val="ListBullet"/>
      </w:pPr>
      <w:r>
        <w:t>GDevelop/Construct study: GDevelop5_Construct3_Architecture_Study_for_Starlight_Engi.docx</w:t>
      </w:r>
    </w:p>
    <w:p>
      <w:r>
        <w:t>External design references: https://ldtk.io/ and https://www.mapeditor.org/.</w:t>
      </w:r>
    </w:p>
    <w:p>
      <w:pPr>
        <w:pStyle w:val="Heading1"/>
      </w:pPr>
      <w:r>
        <w:t>Applicable architectural decisions</w:t>
      </w:r>
    </w:p>
    <w:p>
      <w:r>
        <w:t>Normative authority: Questões em Aberto - Decisões.md. This document develops ADR-SL-019, ADR-SL-020, ADR-SL-022. New candidate ADRs below do not amend the approved decisions.</w:t>
      </w:r>
    </w:p>
    <w:p>
      <w:pPr>
        <w:pStyle w:val="Heading1"/>
      </w:pPr>
      <w:r>
        <w:t>Approved MVP and deferred capabilities</w:t>
      </w:r>
    </w:p>
    <w:p>
      <w:r>
        <w:t>ADR-SL-019/020/022: Native Level Editor, semantic layers, tilesets and auto-tiling 16/47 belong to MVP planning after the first integrated Desktop milestone (03). Presets compile into the generic rule engine; they are not competing implementations. Multi-chunk streaming and non-orthogonal orientations, external LDtk/Tiled importers and 3D remain deferred.</w:t>
      </w:r>
    </w:p>
    <w:p>
      <w:r>
        <w:t>Terrain/Wang modes, advanced custom rule editing and weighted alternatives above describe expansion capabilities, not automatically first-milestone obligations. Preserve explicit manual override flags so regeneration cannot erase authored tiles. Version rule inputs and seeds; build invalidation depends on source Level, tileset and rule hashes.</w:t>
      </w:r>
    </w:p>
    <w:p>
      <w:r>
        <w:t>Implementation detail: a chunk has stable coordinates in Level space, dimensions and layer data; validate duplicate/overlapping chunk coordinates and cell counts. Chunk dimensions and indexing conventions must be explicit in each schema. Regeneration with identical inputs/seed must produce identical visual output; ambiguous equal-priority rules need diagnostics. Level placements use Object-Ref/Instance semantics from 05, including a distinct runtime placement context when reused.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