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Addon, Plugin &amp; Behavior Architecture</w:t>
      </w:r>
    </w:p>
    <w:p>
      <w:pPr>
        <w:pStyle w:val="Subtitle"/>
        <w:jc w:val="center"/>
      </w:pPr>
      <w:r>
        <w:t>C# extension packages, editor metadata, runtime assemblies, capabilities and target compatibility</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1. Goals</w:t>
      </w:r>
    </w:p>
    <w:p>
      <w:r>
        <w:t>Starlight addons let C# developers extend authoring and runtime without requiring modifications to the editor core. Plugins define object/system capabilities; Behaviors attach reusable functionality to Object-Refs and may add properties, conditions, actions and expressions.</w:t>
      </w:r>
    </w:p>
    <w:p>
      <w:pPr>
        <w:pStyle w:val="Heading1"/>
      </w:pPr>
      <w:r>
        <w:t>2. Package split</w:t>
      </w:r>
    </w:p>
    <w:p>
      <w:pPr>
        <w:ind w:left="360" w:right="216"/>
      </w:pPr>
      <w:r>
        <w:rPr>
          <w:rFonts w:ascii="Consolas" w:hAnsi="Consolas"/>
          <w:sz w:val="17"/>
        </w:rPr>
        <w:t>Addon package</w:t>
        <w:br/>
        <w:t>├─ manifest</w:t>
        <w:br/>
        <w:t>├─ editor metadata/schema</w:t>
        <w:br/>
        <w:t>├─ runtime assembly/source</w:t>
        <w:br/>
        <w:t>├─ optional editor extension</w:t>
        <w:br/>
        <w:t>├─ assets/icons/templates</w:t>
        <w:br/>
        <w:t>└─ migrations</w:t>
      </w:r>
    </w:p>
    <w:p>
      <w:pPr>
        <w:pStyle w:val="Heading1"/>
      </w:pPr>
      <w:r>
        <w:t>3. Plugin classes</w:t>
      </w:r>
    </w:p>
    <w:tbl>
      <w:tblPr>
        <w:tblStyle w:val="TableGrid"/>
        <w:tblW w:type="auto" w:w="0"/>
        <w:tblLook w:firstColumn="1" w:firstRow="1" w:lastColumn="0" w:lastRow="0" w:noHBand="0" w:noVBand="1" w:val="04A0"/>
      </w:tblPr>
      <w:tblGrid>
        <w:gridCol w:w="4968"/>
        <w:gridCol w:w="4968"/>
      </w:tblGrid>
      <w:tr>
        <w:tc>
          <w:tcPr>
            <w:tcW w:type="dxa" w:w="4968"/>
            <w:shd w:fill="D9EAF7"/>
          </w:tcPr>
          <w:p>
            <w:r>
              <w:t>Class</w:t>
            </w:r>
          </w:p>
        </w:tc>
        <w:tc>
          <w:tcPr>
            <w:tcW w:type="dxa" w:w="4968"/>
            <w:shd w:fill="D9EAF7"/>
          </w:tcPr>
          <w:p>
            <w:r>
              <w:t>Meaning</w:t>
            </w:r>
          </w:p>
        </w:tc>
      </w:tr>
      <w:tr>
        <w:tc>
          <w:tcPr>
            <w:tcW w:type="dxa" w:w="4968"/>
          </w:tcPr>
          <w:p>
            <w:r>
              <w:t>Visual plugin</w:t>
            </w:r>
          </w:p>
        </w:tc>
        <w:tc>
          <w:tcPr>
            <w:tcW w:type="dxa" w:w="4968"/>
          </w:tcPr>
          <w:p>
            <w:r>
              <w:t>Has an authoring/runtime visual representation, e.g. Sprite.</w:t>
            </w:r>
          </w:p>
        </w:tc>
      </w:tr>
      <w:tr>
        <w:tc>
          <w:tcPr>
            <w:tcW w:type="dxa" w:w="4968"/>
          </w:tcPr>
          <w:p>
            <w:r>
              <w:t>Hidden/nonvisual plugin</w:t>
            </w:r>
          </w:p>
        </w:tc>
        <w:tc>
          <w:tcPr>
            <w:tcW w:type="dxa" w:w="4968"/>
          </w:tcPr>
          <w:p>
            <w:r>
              <w:t>Exists in a layout/object but does not draw, e.g. data structures/timers.</w:t>
            </w:r>
          </w:p>
        </w:tc>
      </w:tr>
      <w:tr>
        <w:tc>
          <w:tcPr>
            <w:tcW w:type="dxa" w:w="4968"/>
          </w:tcPr>
          <w:p>
            <w:r>
              <w:t>Project-wide plugin</w:t>
            </w:r>
          </w:p>
        </w:tc>
        <w:tc>
          <w:tcPr>
            <w:tcW w:type="dxa" w:w="4968"/>
          </w:tcPr>
          <w:p>
            <w:r>
              <w:t>Unique/global capability such as audio/input service where appropriate.</w:t>
            </w:r>
          </w:p>
        </w:tc>
      </w:tr>
      <w:tr>
        <w:tc>
          <w:tcPr>
            <w:tcW w:type="dxa" w:w="4968"/>
          </w:tcPr>
          <w:p>
            <w:r>
              <w:t>Behavior</w:t>
            </w:r>
          </w:p>
        </w:tc>
        <w:tc>
          <w:tcPr>
            <w:tcW w:type="dxa" w:w="4968"/>
          </w:tcPr>
          <w:p>
            <w:r>
              <w:t>Reusable functionality attached to Object-Refs/Families, optionally enabled per instance.</w:t>
            </w:r>
          </w:p>
        </w:tc>
      </w:tr>
    </w:tbl>
    <w:p>
      <w:pPr>
        <w:pStyle w:val="Heading1"/>
      </w:pPr>
      <w:r>
        <w:t>4. Metadata-driven editor</w:t>
      </w:r>
    </w:p>
    <w:p>
      <w:r>
        <w:t>The editor should not require a handwritten React inspector for every addon. Addons expose property schemas, editor widgets where necessary, and ACE metadata (Actions, Conditions, Expressions). The generic Inspector/Event Sheet UI renders this metadata. Custom editor UI is an advanced escape hatch, not the default.</w:t>
      </w:r>
    </w:p>
    <w:p>
      <w:pPr>
        <w:pStyle w:val="Heading1"/>
      </w:pPr>
      <w:r>
        <w:t>5. Runtime registration</w:t>
      </w:r>
    </w:p>
    <w:p>
      <w:r>
        <w:t>ADR-SL-009/018/021: initial discovery reads only declarative .addon/schema/ACE manifests and does not load arbitrary DLLs. Approved build tooling may inspect metadata/Roslyn inputs under explicit trust controls. Build-generated registries/factories are mandatory for runtime type/ACE registration; runtime startup never requires DLL scanning or reflection discovery.</w:t>
      </w:r>
    </w:p>
    <w:p>
      <w:pPr>
        <w:pStyle w:val="Heading1"/>
      </w:pPr>
      <w:r>
        <w:t>6. Capability and target tiers</w:t>
      </w:r>
    </w:p>
    <w:tbl>
      <w:tblPr>
        <w:tblStyle w:val="TableGrid"/>
        <w:tblW w:type="auto" w:w="0"/>
        <w:tblLook w:firstColumn="1" w:firstRow="1" w:lastColumn="0" w:lastRow="0" w:noHBand="0" w:noVBand="1" w:val="04A0"/>
      </w:tblPr>
      <w:tblGrid>
        <w:gridCol w:w="4968"/>
        <w:gridCol w:w="4968"/>
      </w:tblGrid>
      <w:tr>
        <w:tc>
          <w:tcPr>
            <w:tcW w:type="dxa" w:w="4968"/>
            <w:shd w:fill="D9EAF7"/>
          </w:tcPr>
          <w:p>
            <w:r>
              <w:t>Tier</w:t>
            </w:r>
          </w:p>
        </w:tc>
        <w:tc>
          <w:tcPr>
            <w:tcW w:type="dxa" w:w="4968"/>
            <w:shd w:fill="D9EAF7"/>
          </w:tcPr>
          <w:p>
            <w:r>
              <w:t>Intent</w:t>
            </w:r>
          </w:p>
        </w:tc>
      </w:tr>
      <w:tr>
        <w:tc>
          <w:tcPr>
            <w:tcW w:type="dxa" w:w="4968"/>
          </w:tcPr>
          <w:p>
            <w:r>
              <w:t>portable</w:t>
            </w:r>
          </w:p>
        </w:tc>
        <w:tc>
          <w:tcPr>
            <w:tcW w:type="dxa" w:w="4968"/>
          </w:tcPr>
          <w:p>
            <w:r>
              <w:t>Uses only Starlight portable runtime APIs.</w:t>
            </w:r>
          </w:p>
        </w:tc>
      </w:tr>
      <w:tr>
        <w:tc>
          <w:tcPr>
            <w:tcW w:type="dxa" w:w="4968"/>
          </w:tcPr>
          <w:p>
            <w:r>
              <w:t>platform-capability</w:t>
            </w:r>
          </w:p>
        </w:tc>
        <w:tc>
          <w:tcPr>
            <w:tcW w:type="dxa" w:w="4968"/>
          </w:tcPr>
          <w:p>
            <w:r>
              <w:t>Requires declared capability such as filesystem/network/native integration.</w:t>
            </w:r>
          </w:p>
        </w:tc>
      </w:tr>
      <w:tr>
        <w:tc>
          <w:tcPr>
            <w:tcW w:type="dxa" w:w="4968"/>
          </w:tcPr>
          <w:p>
            <w:r>
              <w:t>target-specific</w:t>
            </w:r>
          </w:p>
        </w:tc>
        <w:tc>
          <w:tcPr>
            <w:tcW w:type="dxa" w:w="4968"/>
          </w:tcPr>
          <w:p>
            <w:r>
              <w:t>Explicitly supports selected runtime targets only.</w:t>
            </w:r>
          </w:p>
        </w:tc>
      </w:tr>
      <w:tr>
        <w:tc>
          <w:tcPr>
            <w:tcW w:type="dxa" w:w="4968"/>
          </w:tcPr>
          <w:p>
            <w:r>
              <w:t>editor-only</w:t>
            </w:r>
          </w:p>
        </w:tc>
        <w:tc>
          <w:tcPr>
            <w:tcW w:type="dxa" w:w="4968"/>
          </w:tcPr>
          <w:p>
            <w:r>
              <w:t>Never packaged into the game runtime.</w:t>
            </w:r>
          </w:p>
        </w:tc>
      </w:tr>
    </w:tbl>
    <w:p>
      <w:pPr>
        <w:pStyle w:val="Heading1"/>
      </w:pPr>
      <w:r>
        <w:t>7. Versioning</w:t>
      </w:r>
    </w:p>
    <w:p>
      <w:pPr>
        <w:pStyle w:val="ListBullet"/>
      </w:pPr>
      <w:r>
        <w:t>Stable packageId + semantic version identify a package release. A Plugin/Behavior/ACE ID is stable across display/CLR renames. Root manifest GUID and packageId separation is candidate ADR-SL-026 (06).</w:t>
      </w:r>
    </w:p>
    <w:p>
      <w:pPr>
        <w:pStyle w:val="ListBullet"/>
      </w:pPr>
      <w:r>
        <w:t>Manifest declares engine compatibility and dependencies.</w:t>
      </w:r>
    </w:p>
    <w:p>
      <w:pPr>
        <w:pStyle w:val="ListBullet"/>
      </w:pPr>
      <w:r>
        <w:t>Properties and ACE members that can be referenced by serialized projects need stable IDs independent of display labels.</w:t>
      </w:r>
    </w:p>
    <w:p>
      <w:pPr>
        <w:pStyle w:val="ListBullet"/>
      </w:pPr>
      <w:r>
        <w:t>Breaking schema changes require migrations or explicit incompatibility diagnostics.</w:t>
      </w:r>
    </w:p>
    <w:p>
      <w:pPr>
        <w:pStyle w:val="Heading1"/>
      </w:pPr>
      <w:r>
        <w:t>8. Security/trust</w:t>
      </w:r>
    </w:p>
    <w:p>
      <w:r>
        <w:t>ADR-SL-021: initial discovery MUST be metadata-only; never automatically execute arbitrary addon DLLs on install/open. MVP supports local development addons and embedded first-party standard packages only. Runtime/build execution still runs code with process permissions and requires an explicit trusted development workflow. Online marketplace, signing infrastructure and permission UI are post-MVP; this restriction is not a sandbox guarantee.</w:t>
      </w:r>
    </w:p>
    <w:p>
      <w:pPr>
        <w:pStyle w:val="Heading1"/>
      </w:pPr>
      <w:r>
        <w:t>9. Illustrative CSharp pseudocode surface</w:t>
      </w:r>
    </w:p>
    <w:p>
      <w:pPr>
        <w:ind w:left="360" w:right="216"/>
      </w:pPr>
      <w:r>
        <w:rPr>
          <w:rFonts w:ascii="Consolas" w:hAnsi="Consolas"/>
          <w:sz w:val="17"/>
        </w:rPr>
        <w:t>[StarlightPlugin("com.starlight.standard:sprite") ]</w:t>
        <w:br/>
        <w:t>public sealed class SpritePlugin : ObjectPlugin {</w:t>
        <w:br/>
        <w:t xml:space="preserve">  [EditorProperty] public AssetRef&lt;TextureAsset&gt; Texture { get; set; }</w:t>
        <w:br/>
        <w:t xml:space="preserve">  [EventAction("com.starlight.standard.sprite:set-animation")] public void SetAnimation(string name) { ... }</w:t>
        <w:br/>
        <w:t xml:space="preserve">  [EventCondition("com.starlight.standard.sprite:is-playing")] public bool IsPlaying(string name) =&gt; ...;</w:t>
        <w:br/>
        <w:t xml:space="preserve">  [EventExpression("com.starlight.standard.sprite:width")] public float Width =&gt; ...;</w:t>
        <w:br/>
        <w:t>}</w:t>
      </w:r>
    </w:p>
    <w:p>
      <w:pPr>
        <w:pStyle w:val="Heading1"/>
      </w:pPr>
      <w:r>
        <w:t>10. Build participation</w:t>
      </w:r>
    </w:p>
    <w:p>
      <w:r>
        <w:t>Addon manifests contribute importers, build processors, generated registries, runtime assemblies/assets and compatibility checks through explicit extension points. An addon must not mutate arbitrary build phases implicitly.</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ADR-SL-006, ADR-SL-008, ADR-SL-009, ADR-SL-010, ADR-SL-012, ADR-SL-016, ADR-SL-017, ADR-SL-018, ADR-SL-021. New candidate ADRs below do not amend the approved decisions.</w:t>
      </w:r>
    </w:p>
    <w:p>
      <w:pPr>
        <w:pStyle w:val="Heading1"/>
      </w:pPr>
      <w:r>
        <w:t>Platform requirements and validation</w:t>
      </w:r>
    </w:p>
    <w:p>
      <w:r>
        <w:t>ADR-SL-012/016/017/018: exported games contain no editor-only dependencies, Tauri, React, WebView, Rust shell, Roslyn tooling or dynamic addon discovery. Generate registries at build time. Never reflect into private MonoGame members. Do not require JIT code generation for gameplay; ordinary managed JIT on a permitted Desktop target is not prohibited. NativeAOT is one possible target toolchain, not a universal deployment command. Reflection is assessed for trimming, metadata and target support; not every use necessarily crashes. Aim for low allocation in steady-state hot paths, measure budgets, and allow legitimate loading/entity creation allocations. Console export is a compatibility objective requiring authorized SDKs, vendor packaging, capabilities, lifecycle tests and certification; swapping a MonoGame package alone is not a guarantee.</w:t>
      </w:r>
    </w:p>
    <w:p>
      <w:pPr>
        <w:pStyle w:val="Heading1"/>
      </w:pPr>
      <w:r>
        <w:t>Portable behavior lifecycle</w:t>
      </w:r>
    </w:p>
    <w:p>
      <w:r>
        <w:t>Portable timing clarification of ADR-SL-010 against ADR-SL-016: FrameTime is a small immutable Starlight value containing Delta (System.TimeSpan), Total (System.TimeSpan) and FrameIndex (System.Int64). Delta is simulation elapsed time, Total is accumulated simulation time, and FrameIndex counts simulation updates, not draw calls or wall-clock time. The MonoGame adapter converts GameTime.ElapsedGameTime/TotalGameTime and supplies the index. Core, SDK, IBehavior and generated C# receive only FrameTime. Unit tests can construct it without a graphics device. Pause/clock reset must not be inferred from operating-system time; the scheduling policy is explicitly pending in 09.</w:t>
      </w:r>
    </w:p>
    <w:p>
      <w:r>
        <w:t>ADR-SL-010: 1 Input Snapshot; 2 Service PreUpdate; 3 Behavior PreEvents; 4 Event Sheet &amp; Triggers; 5 Behavior PostEvents; 6 Physics &amp; Late Systems; 7 Render Prepare; 8 MonoGame Draw; 9 Debug &amp; Telemetry. These nine phase names/order remain approved. No addon inserts a tenth phase. Proposed timing/delivery semantics in 09 do not authorize a second Event Sheet pass after physics.</w:t>
      </w:r>
    </w:p>
    <w:p>
      <w:r>
        <w:t>Conceptual public C# contract (portable API example, not engine implementation):</w:t>
        <w:br/>
        <w:t>public readonly record struct FrameTime(</w:t>
        <w:br/>
        <w:t xml:space="preserve">    System.TimeSpan Delta, System.TimeSpan Total, long FrameIndex);</w:t>
        <w:br/>
        <w:t>public interface IBehavior</w:t>
        <w:br/>
        <w:t>{</w:t>
        <w:br/>
        <w:t xml:space="preserve">    void PreEvents(FrameTime time);</w:t>
        <w:br/>
        <w:t xml:space="preserve">    void PostEvents(FrameTime time);</w:t>
        <w:br/>
        <w:t>}</w:t>
        <w:br/>
        <w:t>Creation/destruction hooks are owned by Starlight lifecycle contracts, not MonoGame GameComponent. The full composition initialization/teardown order remains candidate ADR-SL-024 in 05.</w:t>
      </w:r>
    </w:p>
    <w:p>
      <w:r>
        <w:t>Behavior definitions/configuration are shared through Object-Refs/Families; mutable behavior state belongs to each entity instance. Plugins may expose visuals, nonvisual components or global services. CapabilityRegistry supplies the same typed API to C# and Event Sheets, including component/behavior slot references. ACE metadata declares selection effects, parameter/result types, side effects and trigger versus query semantics; a bool-returning method alone is not a sufficient picking contract (09).</w:t>
      </w:r>
    </w:p>
    <w:p>
      <w:pPr>
        <w:pStyle w:val="Heading1"/>
      </w:pPr>
      <w:r>
        <w:t>Editorial and build extension boundary</w:t>
      </w:r>
    </w:p>
    <w:p>
      <w:r>
        <w:t>EditorPreview descriptors target the independent renderer contract in 02; C# runtime renderers do not run inside the WebView or automatically become editor previews. Missing editorial support uses bounds/icons/base-material fallback with diagnostics. Shader MGFX, native rendering and arbitrary user scripts are not portable preview payloads. Renderer backend remains Proposed ADR-SL-023.</w:t>
      </w:r>
    </w:p>
    <w:p>
      <w:r>
        <w:t>Build contributors declare inputs, outputs, dependency hashes, supported capabilities and deterministic invalidation (03). Metadata discovery is safe only to the extent parsing and resource budgets are enforced; executing an importer, source generator, MSBuild task or editor extension is code execution and requires the same trusted package handling. Preserve unknown addon payloads (ADR-SL-006) and reject missing required runtime capabilities before export.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