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1CA68" w14:textId="77777777" w:rsidR="00823AF5" w:rsidRPr="00823AF5" w:rsidRDefault="00823AF5" w:rsidP="00823AF5">
      <w:pPr>
        <w:rPr>
          <w:rFonts w:ascii="Calibri" w:hAnsi="Calibri" w:cs="Calibri"/>
        </w:rPr>
      </w:pPr>
      <w:r w:rsidRPr="00823AF5">
        <w:rPr>
          <w:rFonts w:ascii="Calibri" w:hAnsi="Calibri" w:cs="Calibri"/>
        </w:rPr>
        <w:t>REVISED FRAME</w:t>
      </w:r>
    </w:p>
    <w:p w14:paraId="441EE2C7" w14:textId="225E6EAE" w:rsidR="00823AF5" w:rsidRDefault="00823AF5" w:rsidP="00823AF5">
      <w:pPr>
        <w:rPr>
          <w:rFonts w:ascii="Calibri" w:hAnsi="Calibri" w:cs="Calibri"/>
        </w:rPr>
      </w:pPr>
      <w:r w:rsidRPr="00823AF5">
        <w:rPr>
          <w:rFonts w:ascii="Calibri" w:hAnsi="Calibri" w:cs="Calibri"/>
          <w:b/>
          <w:bCs/>
        </w:rPr>
        <w:t>FRAME:</w:t>
      </w:r>
      <w:r w:rsidRPr="00823AF5">
        <w:rPr>
          <w:rFonts w:ascii="Calibri" w:hAnsi="Calibri" w:cs="Calibri"/>
        </w:rPr>
        <w:t xml:space="preserve"> We conceptualize the defense–normalization divide as a potential organizing cleavage in European public opinion</w:t>
      </w:r>
      <w:r>
        <w:rPr>
          <w:rFonts w:ascii="Calibri" w:hAnsi="Calibri" w:cs="Calibri"/>
        </w:rPr>
        <w:t xml:space="preserve"> and party politics. </w:t>
      </w:r>
    </w:p>
    <w:p w14:paraId="5740BDE0" w14:textId="77777777" w:rsidR="003845B1" w:rsidRDefault="003845B1" w:rsidP="00823AF5">
      <w:pPr>
        <w:rPr>
          <w:rFonts w:ascii="Calibri" w:hAnsi="Calibri" w:cs="Calibri"/>
        </w:rPr>
      </w:pPr>
    </w:p>
    <w:p w14:paraId="2EAD199A" w14:textId="740D83BE" w:rsidR="003845B1" w:rsidRDefault="003845B1" w:rsidP="00823AF5">
      <w:pPr>
        <w:rPr>
          <w:rFonts w:ascii="Calibri" w:hAnsi="Calibri" w:cs="Calibri"/>
        </w:rPr>
      </w:pPr>
      <w:r w:rsidRPr="003845B1">
        <w:rPr>
          <w:rFonts w:ascii="Calibri" w:hAnsi="Calibri" w:cs="Calibri"/>
          <w:b/>
          <w:bCs/>
        </w:rPr>
        <w:t>Cleavage</w:t>
      </w:r>
      <w:r>
        <w:rPr>
          <w:rFonts w:ascii="Calibri" w:hAnsi="Calibri" w:cs="Calibri"/>
        </w:rPr>
        <w:t xml:space="preserve"> (Maria/Dietlind): origin and importance. I think here we need to nail why this cleavage emerges and how we look at it. We can refer to the constructivists and the cultural distinctions that were also cemented in the cold war. Contrast between Putin’s Russia and direction of European societies. And this cleavage was recently mobilized or made salient again in the aggressions by Russia in Crimea and Ukraine overall and the overall threat Russia poses against the West and particularly some parts of Europe. </w:t>
      </w:r>
    </w:p>
    <w:p w14:paraId="7680920A" w14:textId="77777777" w:rsidR="003845B1" w:rsidRDefault="003845B1" w:rsidP="00823AF5">
      <w:pPr>
        <w:rPr>
          <w:rFonts w:ascii="Calibri" w:hAnsi="Calibri" w:cs="Calibri"/>
        </w:rPr>
      </w:pPr>
    </w:p>
    <w:p w14:paraId="784D27D6" w14:textId="54F3EEB3" w:rsidR="003845B1" w:rsidRPr="00823AF5" w:rsidRDefault="00E775C2" w:rsidP="00823AF5">
      <w:pPr>
        <w:rPr>
          <w:rFonts w:ascii="Calibri" w:hAnsi="Calibri" w:cs="Calibri"/>
        </w:rPr>
      </w:pPr>
      <w:r w:rsidRPr="00E775C2">
        <w:rPr>
          <w:rFonts w:ascii="Calibri" w:hAnsi="Calibri" w:cs="Calibri"/>
          <w:b/>
          <w:bCs/>
        </w:rPr>
        <w:t>Link to Party Politics and Preferences</w:t>
      </w:r>
      <w:r>
        <w:rPr>
          <w:rFonts w:ascii="Calibri" w:hAnsi="Calibri" w:cs="Calibri"/>
        </w:rPr>
        <w:t xml:space="preserve">: </w:t>
      </w:r>
      <w:r w:rsidR="003845B1">
        <w:rPr>
          <w:rFonts w:ascii="Calibri" w:hAnsi="Calibri" w:cs="Calibri"/>
        </w:rPr>
        <w:t xml:space="preserve">Dietlind/Rafael: How this cleavage is inked to public opinion and party politics, using Zaller and others ad how it should find an expression in todays politics. </w:t>
      </w:r>
    </w:p>
    <w:p w14:paraId="6FEED4D1" w14:textId="77777777" w:rsidR="00823AF5" w:rsidRPr="00823AF5" w:rsidRDefault="00823AF5" w:rsidP="00823AF5">
      <w:pPr>
        <w:rPr>
          <w:rFonts w:ascii="Calibri" w:hAnsi="Calibri" w:cs="Calibri"/>
        </w:rPr>
      </w:pPr>
    </w:p>
    <w:p w14:paraId="789BC1CD" w14:textId="41485CE8" w:rsidR="00823AF5" w:rsidRDefault="00823AF5" w:rsidP="00823AF5">
      <w:pPr>
        <w:rPr>
          <w:rFonts w:ascii="Calibri" w:hAnsi="Calibri" w:cs="Calibri"/>
        </w:rPr>
      </w:pPr>
      <w:r w:rsidRPr="00823AF5">
        <w:rPr>
          <w:rFonts w:ascii="Calibri" w:hAnsi="Calibri" w:cs="Calibri"/>
          <w:b/>
          <w:bCs/>
        </w:rPr>
        <w:t>First</w:t>
      </w:r>
      <w:r w:rsidRPr="00823AF5">
        <w:rPr>
          <w:rFonts w:ascii="Calibri" w:hAnsi="Calibri" w:cs="Calibri"/>
        </w:rPr>
        <w:t xml:space="preserve">, we examine whether attitudes toward the Russia–Ukraine war form a coherent defense–normalization dimension. </w:t>
      </w:r>
      <w:r>
        <w:rPr>
          <w:rFonts w:ascii="Calibri" w:hAnsi="Calibri" w:cs="Calibri"/>
        </w:rPr>
        <w:t xml:space="preserve">The goal is to show it forms a cleavage, that items hang together, that several people form an opinion, though we do not expect everyone to take a place on this continuum. </w:t>
      </w:r>
    </w:p>
    <w:p w14:paraId="38673EAD" w14:textId="48854EBF" w:rsidR="00823AF5" w:rsidRDefault="00823AF5" w:rsidP="00823AF5">
      <w:pPr>
        <w:rPr>
          <w:rFonts w:ascii="Calibri" w:hAnsi="Calibri" w:cs="Calibri"/>
          <w:i/>
          <w:iCs/>
        </w:rPr>
      </w:pPr>
      <w:r w:rsidRPr="00E775C2">
        <w:rPr>
          <w:rFonts w:ascii="Calibri" w:hAnsi="Calibri" w:cs="Calibri"/>
          <w:b/>
          <w:bCs/>
        </w:rPr>
        <w:t>Methods:</w:t>
      </w:r>
      <w:r w:rsidRPr="00823AF5">
        <w:rPr>
          <w:rFonts w:ascii="Calibri" w:hAnsi="Calibri" w:cs="Calibri"/>
        </w:rPr>
        <w:t xml:space="preserve"> </w:t>
      </w:r>
      <w:r w:rsidRPr="00823AF5">
        <w:rPr>
          <w:rFonts w:ascii="Calibri" w:hAnsi="Calibri" w:cs="Calibri"/>
          <w:i/>
          <w:iCs/>
        </w:rPr>
        <w:t>This involves factor analysis, scale construction, and reliability tests such as alpha or related measures of internal consistency.</w:t>
      </w:r>
    </w:p>
    <w:p w14:paraId="3025C12E" w14:textId="17F33992" w:rsidR="00823AF5" w:rsidRDefault="00823AF5" w:rsidP="00823AF5">
      <w:pPr>
        <w:rPr>
          <w:rFonts w:ascii="Calibri" w:hAnsi="Calibri" w:cs="Calibri"/>
        </w:rPr>
      </w:pPr>
      <w:r w:rsidRPr="00E775C2">
        <w:rPr>
          <w:rFonts w:ascii="Calibri" w:hAnsi="Calibri" w:cs="Calibri"/>
          <w:b/>
          <w:bCs/>
        </w:rPr>
        <w:t xml:space="preserve">Exhibits: </w:t>
      </w:r>
      <w:r w:rsidR="002A2219" w:rsidRPr="002A2219">
        <w:rPr>
          <w:rFonts w:ascii="Calibri" w:hAnsi="Calibri" w:cs="Calibri"/>
        </w:rPr>
        <w:t xml:space="preserve">Not sure whether we need the distribution along the factor score here, I think we can save that for the Appendix. We probably want to show groups, but I am hesitant whether it’s a good idea for the article, to be saved for the book (or article number 2). </w:t>
      </w:r>
      <w:r w:rsidR="002A2219">
        <w:rPr>
          <w:rFonts w:ascii="Calibri" w:hAnsi="Calibri" w:cs="Calibri"/>
        </w:rPr>
        <w:t xml:space="preserve">So maybe no exhibit here? </w:t>
      </w:r>
      <w:r w:rsidR="009D76D6">
        <w:rPr>
          <w:rFonts w:ascii="Calibri" w:hAnsi="Calibri" w:cs="Calibri"/>
        </w:rPr>
        <w:t>(Rafael/Dietlind)</w:t>
      </w:r>
    </w:p>
    <w:p w14:paraId="708ACDE4" w14:textId="6498CAA5" w:rsidR="000A0D0B" w:rsidRDefault="000A0D0B" w:rsidP="00823AF5">
      <w:pPr>
        <w:rPr>
          <w:rFonts w:ascii="Calibri" w:hAnsi="Calibri" w:cs="Calibri"/>
        </w:rPr>
      </w:pPr>
      <w:r w:rsidRPr="000A0D0B">
        <w:rPr>
          <w:rFonts w:ascii="Calibri" w:hAnsi="Calibri" w:cs="Calibri"/>
          <w:b/>
          <w:bCs/>
        </w:rPr>
        <w:t>Question:</w:t>
      </w:r>
      <w:r>
        <w:rPr>
          <w:rFonts w:ascii="Calibri" w:hAnsi="Calibri" w:cs="Calibri"/>
        </w:rPr>
        <w:t xml:space="preserve"> should we add a brief </w:t>
      </w:r>
      <w:proofErr w:type="spellStart"/>
      <w:r>
        <w:rPr>
          <w:rFonts w:ascii="Calibri" w:hAnsi="Calibri" w:cs="Calibri"/>
        </w:rPr>
        <w:t>socdem</w:t>
      </w:r>
      <w:proofErr w:type="spellEnd"/>
      <w:r>
        <w:rPr>
          <w:rFonts w:ascii="Calibri" w:hAnsi="Calibri" w:cs="Calibri"/>
        </w:rPr>
        <w:t xml:space="preserve"> profile here? </w:t>
      </w:r>
    </w:p>
    <w:p w14:paraId="6B5564C9" w14:textId="77777777" w:rsidR="007B5D2C" w:rsidRDefault="007B5D2C" w:rsidP="00823AF5">
      <w:pPr>
        <w:rPr>
          <w:rFonts w:ascii="Calibri" w:hAnsi="Calibri" w:cs="Calibri"/>
        </w:rPr>
      </w:pPr>
    </w:p>
    <w:p w14:paraId="48C116ED" w14:textId="1EEEA90A" w:rsidR="007B5D2C" w:rsidRPr="007B5D2C" w:rsidRDefault="007B5D2C" w:rsidP="00823AF5">
      <w:pPr>
        <w:rPr>
          <w:rFonts w:ascii="Calibri" w:hAnsi="Calibri" w:cs="Calibri"/>
          <w:b/>
          <w:bCs/>
          <w:color w:val="A02B93" w:themeColor="accent5"/>
        </w:rPr>
      </w:pPr>
      <w:r>
        <w:rPr>
          <w:rFonts w:ascii="Calibri" w:hAnsi="Calibri" w:cs="Calibri"/>
          <w:b/>
          <w:bCs/>
          <w:color w:val="A02B93" w:themeColor="accent5"/>
        </w:rPr>
        <w:t xml:space="preserve">I don’t know if it is necessary here, we can put it in the Appendix </w:t>
      </w:r>
    </w:p>
    <w:p w14:paraId="6BDC4A49" w14:textId="77777777" w:rsidR="00823AF5" w:rsidRPr="002A2219" w:rsidRDefault="00823AF5" w:rsidP="00823AF5">
      <w:pPr>
        <w:rPr>
          <w:rFonts w:ascii="Calibri" w:hAnsi="Calibri" w:cs="Calibri"/>
        </w:rPr>
      </w:pPr>
    </w:p>
    <w:p w14:paraId="7D1AD1BF" w14:textId="77777777" w:rsidR="00823AF5" w:rsidRPr="00823AF5" w:rsidRDefault="00823AF5" w:rsidP="00823AF5">
      <w:pPr>
        <w:rPr>
          <w:rFonts w:ascii="Calibri" w:hAnsi="Calibri" w:cs="Calibri"/>
        </w:rPr>
      </w:pPr>
      <w:r w:rsidRPr="00823AF5">
        <w:rPr>
          <w:rFonts w:ascii="Calibri" w:hAnsi="Calibri" w:cs="Calibri"/>
          <w:b/>
          <w:bCs/>
        </w:rPr>
        <w:t>Second</w:t>
      </w:r>
      <w:r w:rsidRPr="00823AF5">
        <w:rPr>
          <w:rFonts w:ascii="Calibri" w:hAnsi="Calibri" w:cs="Calibri"/>
        </w:rPr>
        <w:t>, we test whether this dimension exhibits horizontal coherence by structuring</w:t>
      </w:r>
    </w:p>
    <w:p w14:paraId="4A232B0F" w14:textId="77777777" w:rsidR="009D76D6" w:rsidRDefault="00823AF5" w:rsidP="00823AF5">
      <w:pPr>
        <w:rPr>
          <w:rFonts w:ascii="Calibri" w:hAnsi="Calibri" w:cs="Calibri"/>
        </w:rPr>
      </w:pPr>
      <w:r w:rsidRPr="00823AF5">
        <w:rPr>
          <w:rFonts w:ascii="Calibri" w:hAnsi="Calibri" w:cs="Calibri"/>
        </w:rPr>
        <w:t xml:space="preserve">citizens’ views on other war-related policies, including </w:t>
      </w:r>
      <w:r w:rsidRPr="009C7941">
        <w:rPr>
          <w:rFonts w:ascii="Calibri" w:hAnsi="Calibri" w:cs="Calibri"/>
          <w:color w:val="A02B93" w:themeColor="accent5"/>
        </w:rPr>
        <w:t>preferred ways to end the war</w:t>
      </w:r>
      <w:r w:rsidRPr="00823AF5">
        <w:rPr>
          <w:rFonts w:ascii="Calibri" w:hAnsi="Calibri" w:cs="Calibri"/>
        </w:rPr>
        <w:t xml:space="preserve">, </w:t>
      </w:r>
      <w:r w:rsidRPr="009C7941">
        <w:rPr>
          <w:rFonts w:ascii="Calibri" w:hAnsi="Calibri" w:cs="Calibri"/>
          <w:color w:val="A02B93" w:themeColor="accent5"/>
        </w:rPr>
        <w:t>trust in Russia and Ukraine</w:t>
      </w:r>
      <w:r w:rsidRPr="00823AF5">
        <w:rPr>
          <w:rFonts w:ascii="Calibri" w:hAnsi="Calibri" w:cs="Calibri"/>
        </w:rPr>
        <w:t xml:space="preserve">, support for </w:t>
      </w:r>
      <w:r w:rsidR="009D76D6">
        <w:rPr>
          <w:rFonts w:ascii="Calibri" w:hAnsi="Calibri" w:cs="Calibri"/>
        </w:rPr>
        <w:t xml:space="preserve">Ukrainian </w:t>
      </w:r>
      <w:r w:rsidRPr="00823AF5">
        <w:rPr>
          <w:rFonts w:ascii="Calibri" w:hAnsi="Calibri" w:cs="Calibri"/>
        </w:rPr>
        <w:t>refugees, and support for Ukraine’s EU accession.</w:t>
      </w:r>
    </w:p>
    <w:p w14:paraId="08ED76B7" w14:textId="51EFCBFC" w:rsidR="00823AF5" w:rsidRDefault="009D76D6" w:rsidP="0049616E">
      <w:pPr>
        <w:rPr>
          <w:rFonts w:ascii="Calibri" w:hAnsi="Calibri" w:cs="Calibri"/>
        </w:rPr>
      </w:pPr>
      <w:r w:rsidRPr="009D76D6">
        <w:rPr>
          <w:rFonts w:ascii="Calibri" w:hAnsi="Calibri" w:cs="Calibri"/>
          <w:b/>
          <w:bCs/>
        </w:rPr>
        <w:t>Methods</w:t>
      </w:r>
      <w:r>
        <w:rPr>
          <w:rFonts w:ascii="Calibri" w:hAnsi="Calibri" w:cs="Calibri"/>
        </w:rPr>
        <w:t xml:space="preserve">: </w:t>
      </w:r>
      <w:r w:rsidR="00823AF5" w:rsidRPr="00823AF5">
        <w:rPr>
          <w:rFonts w:ascii="Calibri" w:hAnsi="Calibri" w:cs="Calibri"/>
        </w:rPr>
        <w:t xml:space="preserve">We can test this </w:t>
      </w:r>
      <w:r w:rsidR="0049616E">
        <w:rPr>
          <w:rFonts w:ascii="Calibri" w:hAnsi="Calibri" w:cs="Calibri"/>
        </w:rPr>
        <w:t xml:space="preserve">in multiple ways. First using an extended factor analysis potentially. But that might also be risky and is strange with our own factor score. Better is probably </w:t>
      </w:r>
      <w:r w:rsidR="00823AF5" w:rsidRPr="00823AF5">
        <w:rPr>
          <w:rFonts w:ascii="Calibri" w:hAnsi="Calibri" w:cs="Calibri"/>
        </w:rPr>
        <w:t>through</w:t>
      </w:r>
      <w:r w:rsidR="00823AF5" w:rsidRPr="0049616E">
        <w:rPr>
          <w:rFonts w:ascii="Calibri" w:hAnsi="Calibri" w:cs="Calibri"/>
          <w:i/>
          <w:iCs/>
        </w:rPr>
        <w:t xml:space="preserve"> regression models using either factor scores or grouped defense–normalization categories as the main predictors.</w:t>
      </w:r>
      <w:r w:rsidR="00823AF5" w:rsidRPr="0049616E">
        <w:rPr>
          <w:rFonts w:ascii="Calibri" w:hAnsi="Calibri" w:cs="Calibri"/>
        </w:rPr>
        <w:t xml:space="preserve"> </w:t>
      </w:r>
      <w:r w:rsidR="0049616E">
        <w:rPr>
          <w:rFonts w:ascii="Calibri" w:hAnsi="Calibri" w:cs="Calibri"/>
        </w:rPr>
        <w:t xml:space="preserve">I think we decided for factor score for now. </w:t>
      </w:r>
      <w:r w:rsidR="00823AF5" w:rsidRPr="00823AF5">
        <w:rPr>
          <w:rFonts w:ascii="Calibri" w:hAnsi="Calibri" w:cs="Calibri"/>
        </w:rPr>
        <w:t xml:space="preserve">Given the cross-national structure of the data, multilevel models </w:t>
      </w:r>
      <w:r w:rsidR="0049616E">
        <w:rPr>
          <w:rFonts w:ascii="Calibri" w:hAnsi="Calibri" w:cs="Calibri"/>
        </w:rPr>
        <w:t xml:space="preserve">should be </w:t>
      </w:r>
      <w:r w:rsidR="00823AF5" w:rsidRPr="00823AF5">
        <w:rPr>
          <w:rFonts w:ascii="Calibri" w:hAnsi="Calibri" w:cs="Calibri"/>
        </w:rPr>
        <w:t>appropriate, especially if we want to account for country-level variation in both the average level and the strength of these associations.</w:t>
      </w:r>
    </w:p>
    <w:p w14:paraId="0A565242" w14:textId="58DFECBC" w:rsidR="0049616E" w:rsidRDefault="0049616E" w:rsidP="00823AF5">
      <w:pPr>
        <w:rPr>
          <w:rFonts w:ascii="Calibri" w:hAnsi="Calibri" w:cs="Calibri"/>
        </w:rPr>
      </w:pPr>
      <w:r w:rsidRPr="00D53A2C">
        <w:rPr>
          <w:rFonts w:ascii="Calibri" w:hAnsi="Calibri" w:cs="Calibri"/>
          <w:b/>
          <w:bCs/>
        </w:rPr>
        <w:t xml:space="preserve">Exhibits: </w:t>
      </w:r>
      <w:r w:rsidR="00D53A2C">
        <w:rPr>
          <w:rFonts w:ascii="Calibri" w:hAnsi="Calibri" w:cs="Calibri"/>
        </w:rPr>
        <w:t>So most likely we show a regression model here. The network analysis would make most sense if we worked on groups and needed to show where they fall. (Rafael/Dietlind to create regression output)</w:t>
      </w:r>
      <w:r w:rsidR="000A0D0B">
        <w:rPr>
          <w:rFonts w:ascii="Calibri" w:hAnsi="Calibri" w:cs="Calibri"/>
        </w:rPr>
        <w:t xml:space="preserve">. Raf thinks about a good graphing option here. </w:t>
      </w:r>
      <w:proofErr w:type="gramStart"/>
      <w:r w:rsidR="000A0D0B">
        <w:rPr>
          <w:rFonts w:ascii="Calibri" w:hAnsi="Calibri" w:cs="Calibri"/>
        </w:rPr>
        <w:t>Alternatively</w:t>
      </w:r>
      <w:proofErr w:type="gramEnd"/>
      <w:r w:rsidR="000A0D0B">
        <w:rPr>
          <w:rFonts w:ascii="Calibri" w:hAnsi="Calibri" w:cs="Calibri"/>
        </w:rPr>
        <w:t xml:space="preserve"> we divide our factor scale in half and visualize how they hang together on all these variables via a network analysis. </w:t>
      </w:r>
    </w:p>
    <w:p w14:paraId="66FD739E" w14:textId="2C4E7C9D" w:rsidR="000A0D0B" w:rsidRPr="00823AF5" w:rsidRDefault="000A0D0B" w:rsidP="00823AF5">
      <w:pPr>
        <w:rPr>
          <w:rFonts w:ascii="Calibri" w:hAnsi="Calibri" w:cs="Calibri"/>
        </w:rPr>
      </w:pPr>
      <w:r w:rsidRPr="000A0D0B">
        <w:rPr>
          <w:rFonts w:ascii="Calibri" w:hAnsi="Calibri" w:cs="Calibri"/>
          <w:b/>
          <w:bCs/>
        </w:rPr>
        <w:t xml:space="preserve">Question: </w:t>
      </w:r>
      <w:r>
        <w:rPr>
          <w:rFonts w:ascii="Calibri" w:hAnsi="Calibri" w:cs="Calibri"/>
        </w:rPr>
        <w:t xml:space="preserve">whether to test them altogether or not. Decide about above. </w:t>
      </w:r>
    </w:p>
    <w:p w14:paraId="18EFF45E" w14:textId="77777777" w:rsidR="00823AF5" w:rsidRPr="00823AF5" w:rsidRDefault="00823AF5" w:rsidP="00823AF5">
      <w:pPr>
        <w:rPr>
          <w:rFonts w:ascii="Calibri" w:hAnsi="Calibri" w:cs="Calibri"/>
        </w:rPr>
      </w:pPr>
    </w:p>
    <w:p w14:paraId="76746A73" w14:textId="54A3001F" w:rsidR="00D53A2C" w:rsidRDefault="00823AF5" w:rsidP="000A0D0B">
      <w:pPr>
        <w:rPr>
          <w:rFonts w:ascii="Calibri" w:hAnsi="Calibri" w:cs="Calibri"/>
        </w:rPr>
      </w:pPr>
      <w:r w:rsidRPr="00823AF5">
        <w:rPr>
          <w:rFonts w:ascii="Calibri" w:hAnsi="Calibri" w:cs="Calibri"/>
          <w:b/>
          <w:bCs/>
        </w:rPr>
        <w:t>Third</w:t>
      </w:r>
      <w:r w:rsidRPr="00823AF5">
        <w:rPr>
          <w:rFonts w:ascii="Calibri" w:hAnsi="Calibri" w:cs="Calibri"/>
        </w:rPr>
        <w:t xml:space="preserve">, we examine whether the dimension exhibits vertical coherence by linking war-related attitudes to broader orientations toward the EU, </w:t>
      </w:r>
      <w:r w:rsidR="00D53A2C">
        <w:rPr>
          <w:rFonts w:ascii="Calibri" w:hAnsi="Calibri" w:cs="Calibri"/>
        </w:rPr>
        <w:t xml:space="preserve">NATO, </w:t>
      </w:r>
      <w:r w:rsidRPr="00823AF5">
        <w:rPr>
          <w:rFonts w:ascii="Calibri" w:hAnsi="Calibri" w:cs="Calibri"/>
        </w:rPr>
        <w:t xml:space="preserve">democracy, and executive aggrandizement. In doing so, we assess whether the defense–normalization divide is merely a domain-specific foreign-policy attitude or a broader axis around which parties and citizens in Europe are increasingly organized. </w:t>
      </w:r>
      <w:r w:rsidR="00D53A2C">
        <w:rPr>
          <w:rFonts w:ascii="Calibri" w:hAnsi="Calibri" w:cs="Calibri"/>
        </w:rPr>
        <w:t>It allows us to claim that there is a social base for the cleavage that goes beyond the actual specific attitudes. The social base is here depicted with other attitudes and orientations.</w:t>
      </w:r>
    </w:p>
    <w:p w14:paraId="487E823B" w14:textId="2140C3A0" w:rsidR="00823AF5" w:rsidRDefault="00D53A2C" w:rsidP="000A0D0B">
      <w:pPr>
        <w:rPr>
          <w:rFonts w:ascii="Calibri" w:hAnsi="Calibri" w:cs="Calibri"/>
          <w:i/>
          <w:iCs/>
        </w:rPr>
      </w:pPr>
      <w:r w:rsidRPr="000A0D0B">
        <w:rPr>
          <w:rFonts w:ascii="Calibri" w:hAnsi="Calibri" w:cs="Calibri"/>
          <w:b/>
          <w:bCs/>
        </w:rPr>
        <w:t xml:space="preserve">Methods: </w:t>
      </w:r>
      <w:r w:rsidR="00823AF5" w:rsidRPr="000A0D0B">
        <w:rPr>
          <w:rFonts w:ascii="Calibri" w:hAnsi="Calibri" w:cs="Calibri"/>
          <w:i/>
          <w:iCs/>
        </w:rPr>
        <w:t xml:space="preserve">This can again be tested through regression models using factor scores </w:t>
      </w:r>
      <w:r w:rsidR="000A0D0B">
        <w:rPr>
          <w:rFonts w:ascii="Calibri" w:hAnsi="Calibri" w:cs="Calibri"/>
          <w:i/>
          <w:iCs/>
        </w:rPr>
        <w:t xml:space="preserve">(most likely not </w:t>
      </w:r>
      <w:r w:rsidR="00823AF5" w:rsidRPr="000A0D0B">
        <w:rPr>
          <w:rFonts w:ascii="Calibri" w:hAnsi="Calibri" w:cs="Calibri"/>
          <w:i/>
          <w:iCs/>
        </w:rPr>
        <w:t>o</w:t>
      </w:r>
      <w:r w:rsidR="000A0D0B">
        <w:rPr>
          <w:rFonts w:ascii="Calibri" w:hAnsi="Calibri" w:cs="Calibri"/>
          <w:i/>
          <w:iCs/>
        </w:rPr>
        <w:t>u</w:t>
      </w:r>
      <w:r w:rsidR="00823AF5" w:rsidRPr="000A0D0B">
        <w:rPr>
          <w:rFonts w:ascii="Calibri" w:hAnsi="Calibri" w:cs="Calibri"/>
          <w:i/>
          <w:iCs/>
        </w:rPr>
        <w:t>r grouped variables</w:t>
      </w:r>
      <w:r w:rsidR="000A0D0B">
        <w:rPr>
          <w:rFonts w:ascii="Calibri" w:hAnsi="Calibri" w:cs="Calibri"/>
          <w:i/>
          <w:iCs/>
        </w:rPr>
        <w:t>)</w:t>
      </w:r>
      <w:r w:rsidR="00823AF5" w:rsidRPr="000A0D0B">
        <w:rPr>
          <w:rFonts w:ascii="Calibri" w:hAnsi="Calibri" w:cs="Calibri"/>
          <w:i/>
          <w:iCs/>
        </w:rPr>
        <w:t xml:space="preserve"> as predictors, ideally with country-level structure </w:t>
      </w:r>
      <w:proofErr w:type="gramStart"/>
      <w:r w:rsidR="00823AF5" w:rsidRPr="000A0D0B">
        <w:rPr>
          <w:rFonts w:ascii="Calibri" w:hAnsi="Calibri" w:cs="Calibri"/>
          <w:i/>
          <w:iCs/>
        </w:rPr>
        <w:t>taken into account</w:t>
      </w:r>
      <w:proofErr w:type="gramEnd"/>
      <w:r w:rsidR="00823AF5" w:rsidRPr="000A0D0B">
        <w:rPr>
          <w:rFonts w:ascii="Calibri" w:hAnsi="Calibri" w:cs="Calibri"/>
          <w:i/>
          <w:iCs/>
        </w:rPr>
        <w:t xml:space="preserve">. </w:t>
      </w:r>
    </w:p>
    <w:p w14:paraId="32F9CA04" w14:textId="58D15296" w:rsidR="000A0D0B" w:rsidRDefault="000A0D0B" w:rsidP="000A0D0B">
      <w:pPr>
        <w:rPr>
          <w:rFonts w:ascii="Calibri" w:hAnsi="Calibri" w:cs="Calibri"/>
        </w:rPr>
      </w:pPr>
      <w:r w:rsidRPr="000A0D0B">
        <w:rPr>
          <w:rFonts w:ascii="Calibri" w:hAnsi="Calibri" w:cs="Calibri"/>
          <w:b/>
          <w:bCs/>
        </w:rPr>
        <w:t xml:space="preserve">Exhibits: </w:t>
      </w:r>
      <w:r w:rsidRPr="000A0D0B">
        <w:rPr>
          <w:rFonts w:ascii="Calibri" w:hAnsi="Calibri" w:cs="Calibri"/>
        </w:rPr>
        <w:t xml:space="preserve">Most likely regression as above. </w:t>
      </w:r>
      <w:r>
        <w:rPr>
          <w:rFonts w:ascii="Calibri" w:hAnsi="Calibri" w:cs="Calibri"/>
        </w:rPr>
        <w:t xml:space="preserve">The single indicator graphs are not doing the job we want. </w:t>
      </w:r>
      <w:proofErr w:type="gramStart"/>
      <w:r>
        <w:rPr>
          <w:rFonts w:ascii="Calibri" w:hAnsi="Calibri" w:cs="Calibri"/>
        </w:rPr>
        <w:t>Alternatively</w:t>
      </w:r>
      <w:proofErr w:type="gramEnd"/>
      <w:r>
        <w:rPr>
          <w:rFonts w:ascii="Calibri" w:hAnsi="Calibri" w:cs="Calibri"/>
        </w:rPr>
        <w:t xml:space="preserve"> we divide our factor scale in half and visualize how they hang together on all these variables via a network analysis. </w:t>
      </w:r>
      <w:r w:rsidR="001E1030">
        <w:rPr>
          <w:rFonts w:ascii="Calibri" w:hAnsi="Calibri" w:cs="Calibri"/>
        </w:rPr>
        <w:t>(Raf and D)</w:t>
      </w:r>
    </w:p>
    <w:p w14:paraId="33C7DA63" w14:textId="77777777" w:rsidR="000A0D0B" w:rsidRPr="00823AF5" w:rsidRDefault="000A0D0B" w:rsidP="000A0D0B">
      <w:pPr>
        <w:rPr>
          <w:rFonts w:ascii="Calibri" w:hAnsi="Calibri" w:cs="Calibri"/>
        </w:rPr>
      </w:pPr>
      <w:r w:rsidRPr="000A0D0B">
        <w:rPr>
          <w:rFonts w:ascii="Calibri" w:hAnsi="Calibri" w:cs="Calibri"/>
          <w:b/>
          <w:bCs/>
        </w:rPr>
        <w:t xml:space="preserve">Question: </w:t>
      </w:r>
      <w:r>
        <w:rPr>
          <w:rFonts w:ascii="Calibri" w:hAnsi="Calibri" w:cs="Calibri"/>
        </w:rPr>
        <w:t xml:space="preserve">whether to test them altogether or not. Decide about above. </w:t>
      </w:r>
    </w:p>
    <w:p w14:paraId="6FA5494C" w14:textId="77777777" w:rsidR="000A0D0B" w:rsidRPr="000A0D0B" w:rsidRDefault="000A0D0B" w:rsidP="000A0D0B">
      <w:pPr>
        <w:rPr>
          <w:rFonts w:ascii="Calibri" w:hAnsi="Calibri" w:cs="Calibri"/>
          <w:b/>
          <w:bCs/>
        </w:rPr>
      </w:pPr>
    </w:p>
    <w:p w14:paraId="7BA3127A" w14:textId="77777777" w:rsidR="000A0D0B" w:rsidRPr="00823AF5" w:rsidRDefault="000A0D0B" w:rsidP="000A0D0B">
      <w:pPr>
        <w:rPr>
          <w:rFonts w:ascii="Calibri" w:hAnsi="Calibri" w:cs="Calibri"/>
        </w:rPr>
      </w:pPr>
    </w:p>
    <w:p w14:paraId="4F6F3AD8" w14:textId="0A7C2936" w:rsidR="000A0D0B" w:rsidRDefault="00823AF5" w:rsidP="00823AF5">
      <w:pPr>
        <w:rPr>
          <w:rFonts w:ascii="Calibri" w:hAnsi="Calibri" w:cs="Calibri"/>
          <w:b/>
          <w:bCs/>
          <w:i/>
          <w:iCs/>
        </w:rPr>
      </w:pPr>
      <w:r w:rsidRPr="00823AF5">
        <w:rPr>
          <w:rFonts w:ascii="Calibri" w:hAnsi="Calibri" w:cs="Calibri"/>
          <w:b/>
          <w:bCs/>
        </w:rPr>
        <w:t>Fourth</w:t>
      </w:r>
      <w:r w:rsidRPr="00823AF5">
        <w:rPr>
          <w:rFonts w:ascii="Calibri" w:hAnsi="Calibri" w:cs="Calibri"/>
        </w:rPr>
        <w:t xml:space="preserve">, we test whether the defense–normalization cleavage adds explanatory power beyond existing political cleavages in predicting vote choice for grouped party families. Here, the main question is not simply whether the defense–normalization dimension predicts vote choice, but </w:t>
      </w:r>
      <w:r w:rsidRPr="00823AF5">
        <w:rPr>
          <w:rFonts w:ascii="Calibri" w:hAnsi="Calibri" w:cs="Calibri"/>
          <w:b/>
          <w:bCs/>
          <w:i/>
          <w:iCs/>
        </w:rPr>
        <w:t xml:space="preserve">whether it does so after accounting for established cleavages such as left-right ideology, GAL-TAN/cultural liberalism-authoritarianism, EU </w:t>
      </w:r>
      <w:r w:rsidR="000A0D0B" w:rsidRPr="00823AF5">
        <w:rPr>
          <w:rFonts w:ascii="Calibri" w:hAnsi="Calibri" w:cs="Calibri"/>
          <w:b/>
          <w:bCs/>
          <w:i/>
          <w:iCs/>
        </w:rPr>
        <w:t>support</w:t>
      </w:r>
      <w:r w:rsidR="000A0D0B">
        <w:rPr>
          <w:rFonts w:ascii="Calibri" w:hAnsi="Calibri" w:cs="Calibri"/>
          <w:b/>
          <w:bCs/>
          <w:i/>
          <w:iCs/>
        </w:rPr>
        <w:t>.</w:t>
      </w:r>
      <w:r w:rsidRPr="00823AF5">
        <w:rPr>
          <w:rFonts w:ascii="Calibri" w:hAnsi="Calibri" w:cs="Calibri"/>
          <w:b/>
          <w:bCs/>
          <w:i/>
          <w:iCs/>
        </w:rPr>
        <w:t xml:space="preserve"> </w:t>
      </w:r>
    </w:p>
    <w:p w14:paraId="3856E13C" w14:textId="76F6CEBA" w:rsidR="00823AF5" w:rsidRDefault="000A0D0B" w:rsidP="00823AF5">
      <w:pPr>
        <w:rPr>
          <w:rFonts w:ascii="Calibri" w:hAnsi="Calibri" w:cs="Calibri"/>
          <w:i/>
          <w:iCs/>
        </w:rPr>
      </w:pPr>
      <w:r w:rsidRPr="000A0D0B">
        <w:rPr>
          <w:rFonts w:ascii="Calibri" w:hAnsi="Calibri" w:cs="Calibri"/>
          <w:b/>
          <w:bCs/>
        </w:rPr>
        <w:t>Methods:</w:t>
      </w:r>
      <w:r>
        <w:rPr>
          <w:rFonts w:ascii="Calibri" w:hAnsi="Calibri" w:cs="Calibri"/>
          <w:b/>
          <w:bCs/>
          <w:i/>
          <w:iCs/>
        </w:rPr>
        <w:t xml:space="preserve"> </w:t>
      </w:r>
      <w:r w:rsidR="00823AF5" w:rsidRPr="000A0D0B">
        <w:rPr>
          <w:rFonts w:ascii="Calibri" w:hAnsi="Calibri" w:cs="Calibri"/>
          <w:i/>
          <w:iCs/>
        </w:rPr>
        <w:t>We can estimate multinomial models predicting vote for grouped party families and compare models that include: (a) only standard cleavage measures; (b) the defense–normalization dimension alone; and (c) both standard cleavages and the defense–normalization dimension. The comparison should focus on changes in model fit, predicted probabilities, average marginal effects, and classification accuracy rather than raw coefficients alone. This would allow us to assess whether the defense–normalization cleavage is redundant with existing cleavages or whether it captures a distinct axis of political competition.</w:t>
      </w:r>
    </w:p>
    <w:p w14:paraId="55FBECB7" w14:textId="0A2664F3" w:rsidR="000A0D0B" w:rsidRPr="000A0D0B" w:rsidRDefault="000A0D0B" w:rsidP="00823AF5">
      <w:pPr>
        <w:rPr>
          <w:rFonts w:ascii="Calibri" w:hAnsi="Calibri" w:cs="Calibri"/>
        </w:rPr>
      </w:pPr>
      <w:r w:rsidRPr="000A0D0B">
        <w:rPr>
          <w:rFonts w:ascii="Calibri" w:hAnsi="Calibri" w:cs="Calibri"/>
          <w:b/>
          <w:bCs/>
        </w:rPr>
        <w:t xml:space="preserve">Exhibits: </w:t>
      </w:r>
      <w:r w:rsidRPr="000A0D0B">
        <w:rPr>
          <w:rFonts w:ascii="Calibri" w:hAnsi="Calibri" w:cs="Calibri"/>
        </w:rPr>
        <w:t xml:space="preserve">Graph the cleavage effects especially the last </w:t>
      </w:r>
      <w:proofErr w:type="gramStart"/>
      <w:r w:rsidRPr="000A0D0B">
        <w:rPr>
          <w:rFonts w:ascii="Calibri" w:hAnsi="Calibri" w:cs="Calibri"/>
        </w:rPr>
        <w:t>model, but</w:t>
      </w:r>
      <w:proofErr w:type="gramEnd"/>
      <w:r w:rsidRPr="000A0D0B">
        <w:rPr>
          <w:rFonts w:ascii="Calibri" w:hAnsi="Calibri" w:cs="Calibri"/>
        </w:rPr>
        <w:t xml:space="preserve"> put the other two in Appendix. </w:t>
      </w:r>
      <w:r w:rsidR="001E1030">
        <w:rPr>
          <w:rFonts w:ascii="Calibri" w:hAnsi="Calibri" w:cs="Calibri"/>
        </w:rPr>
        <w:t>9Raf and D)</w:t>
      </w:r>
    </w:p>
    <w:p w14:paraId="780B7F6E" w14:textId="77777777" w:rsidR="00823AF5" w:rsidRPr="00823AF5" w:rsidRDefault="00823AF5" w:rsidP="00823AF5">
      <w:pPr>
        <w:rPr>
          <w:rFonts w:ascii="Calibri" w:hAnsi="Calibri" w:cs="Calibri"/>
        </w:rPr>
      </w:pPr>
    </w:p>
    <w:p w14:paraId="57AE9E66" w14:textId="08F5ED0E" w:rsidR="000A0D0B" w:rsidRDefault="00823AF5" w:rsidP="00823AF5">
      <w:pPr>
        <w:rPr>
          <w:rFonts w:ascii="Calibri" w:hAnsi="Calibri" w:cs="Calibri"/>
        </w:rPr>
      </w:pPr>
      <w:r w:rsidRPr="00823AF5">
        <w:rPr>
          <w:rFonts w:ascii="Calibri" w:hAnsi="Calibri" w:cs="Calibri"/>
          <w:b/>
          <w:bCs/>
        </w:rPr>
        <w:t>Fifth</w:t>
      </w:r>
      <w:r w:rsidRPr="00823AF5">
        <w:rPr>
          <w:rFonts w:ascii="Calibri" w:hAnsi="Calibri" w:cs="Calibri"/>
        </w:rPr>
        <w:t>, we determine in which parties and countries the cleavage matters most</w:t>
      </w:r>
      <w:r w:rsidR="000A0D0B">
        <w:rPr>
          <w:rFonts w:ascii="Calibri" w:hAnsi="Calibri" w:cs="Calibri"/>
        </w:rPr>
        <w:t>—this give</w:t>
      </w:r>
      <w:r w:rsidR="001E1030">
        <w:rPr>
          <w:rFonts w:ascii="Calibri" w:hAnsi="Calibri" w:cs="Calibri"/>
        </w:rPr>
        <w:t xml:space="preserve">s </w:t>
      </w:r>
      <w:r w:rsidR="000A0D0B">
        <w:rPr>
          <w:rFonts w:ascii="Calibri" w:hAnsi="Calibri" w:cs="Calibri"/>
        </w:rPr>
        <w:t xml:space="preserve">us a reality check but also an application of our findings and it can lead to a forward orientation as to which role this cleavage plays right now in European politics. </w:t>
      </w:r>
    </w:p>
    <w:p w14:paraId="6C24877C" w14:textId="6A3CE814" w:rsidR="00823AF5" w:rsidRDefault="000A0D0B" w:rsidP="00823AF5">
      <w:pPr>
        <w:rPr>
          <w:rFonts w:ascii="Calibri" w:hAnsi="Calibri" w:cs="Calibri"/>
        </w:rPr>
      </w:pPr>
      <w:r w:rsidRPr="001E1030">
        <w:rPr>
          <w:rFonts w:ascii="Calibri" w:hAnsi="Calibri" w:cs="Calibri"/>
          <w:b/>
          <w:bCs/>
        </w:rPr>
        <w:t xml:space="preserve">Methods: </w:t>
      </w:r>
      <w:r w:rsidR="00823AF5" w:rsidRPr="001E1030">
        <w:rPr>
          <w:rFonts w:ascii="Calibri" w:hAnsi="Calibri" w:cs="Calibri"/>
          <w:i/>
          <w:iCs/>
        </w:rPr>
        <w:t xml:space="preserve">This can be done by estimating country-specific or party-family-specific effects and visualizing the average marginal effect of the defense–normalization dimension on support for different party groups. </w:t>
      </w:r>
      <w:r w:rsidR="00823AF5" w:rsidRPr="00823AF5">
        <w:rPr>
          <w:rFonts w:ascii="Calibri" w:hAnsi="Calibri" w:cs="Calibri"/>
        </w:rPr>
        <w:t>Graphs could show where the cleavage most strongly predicts vote choice, whether it is concentrated among radical right, radical left, mainstream right, or mainstream left parties, and whether it varies systematically across European regions or national political contexts.</w:t>
      </w:r>
    </w:p>
    <w:p w14:paraId="0C568872" w14:textId="72C16007" w:rsidR="001E1030" w:rsidRDefault="001E1030" w:rsidP="00823AF5">
      <w:pPr>
        <w:rPr>
          <w:rFonts w:ascii="Calibri" w:hAnsi="Calibri" w:cs="Calibri"/>
        </w:rPr>
      </w:pPr>
      <w:r w:rsidRPr="001E1030">
        <w:rPr>
          <w:rFonts w:ascii="Calibri" w:hAnsi="Calibri" w:cs="Calibri"/>
          <w:b/>
          <w:bCs/>
        </w:rPr>
        <w:t xml:space="preserve">Exhibits: </w:t>
      </w:r>
      <w:r>
        <w:rPr>
          <w:rFonts w:ascii="Calibri" w:hAnsi="Calibri" w:cs="Calibri"/>
        </w:rPr>
        <w:t xml:space="preserve">We already have </w:t>
      </w:r>
      <w:proofErr w:type="gramStart"/>
      <w:r>
        <w:rPr>
          <w:rFonts w:ascii="Calibri" w:hAnsi="Calibri" w:cs="Calibri"/>
        </w:rPr>
        <w:t>this ,</w:t>
      </w:r>
      <w:proofErr w:type="gramEnd"/>
      <w:r>
        <w:rPr>
          <w:rFonts w:ascii="Calibri" w:hAnsi="Calibri" w:cs="Calibri"/>
        </w:rPr>
        <w:t xml:space="preserve"> it needs to be beautified. I would show the general graph but then show specific countries in the Appendix (a selection of some). (Raf and D)</w:t>
      </w:r>
    </w:p>
    <w:p w14:paraId="0C29B9BF" w14:textId="77777777" w:rsidR="001E1030" w:rsidRDefault="001E1030" w:rsidP="00823AF5">
      <w:pPr>
        <w:rPr>
          <w:rFonts w:ascii="Calibri" w:hAnsi="Calibri" w:cs="Calibri"/>
        </w:rPr>
      </w:pPr>
    </w:p>
    <w:p w14:paraId="7FD31700" w14:textId="297B3B0C" w:rsidR="001E1030" w:rsidRPr="00823AF5" w:rsidRDefault="001E1030" w:rsidP="00823AF5">
      <w:pPr>
        <w:rPr>
          <w:rFonts w:ascii="Calibri" w:hAnsi="Calibri" w:cs="Calibri"/>
        </w:rPr>
      </w:pPr>
      <w:r w:rsidRPr="001E1030">
        <w:rPr>
          <w:rFonts w:ascii="Calibri" w:hAnsi="Calibri" w:cs="Calibri"/>
          <w:b/>
          <w:bCs/>
        </w:rPr>
        <w:lastRenderedPageBreak/>
        <w:t xml:space="preserve">Finally, </w:t>
      </w:r>
      <w:r>
        <w:rPr>
          <w:rFonts w:ascii="Calibri" w:hAnsi="Calibri" w:cs="Calibri"/>
        </w:rPr>
        <w:t>we write about the implications for European party politics. Again, the 2023 fall survey should come in handy and maybe the results of the new items for 2026. (all three, M, D, R)</w:t>
      </w:r>
    </w:p>
    <w:sectPr w:rsidR="001E1030" w:rsidRPr="00823A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AF5"/>
    <w:rsid w:val="00093047"/>
    <w:rsid w:val="000A0D0B"/>
    <w:rsid w:val="001E1030"/>
    <w:rsid w:val="001F6D47"/>
    <w:rsid w:val="002A2219"/>
    <w:rsid w:val="00333B2E"/>
    <w:rsid w:val="003845B1"/>
    <w:rsid w:val="00482FC6"/>
    <w:rsid w:val="0049616E"/>
    <w:rsid w:val="00734B96"/>
    <w:rsid w:val="007B5D2C"/>
    <w:rsid w:val="00823AF5"/>
    <w:rsid w:val="009C7941"/>
    <w:rsid w:val="009D76D6"/>
    <w:rsid w:val="00B15563"/>
    <w:rsid w:val="00CF7333"/>
    <w:rsid w:val="00CF76C3"/>
    <w:rsid w:val="00D53A2C"/>
    <w:rsid w:val="00E775C2"/>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A86F"/>
  <w15:chartTrackingRefBased/>
  <w15:docId w15:val="{0F123413-B065-412B-A394-438D1BD1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F5"/>
  </w:style>
  <w:style w:type="paragraph" w:styleId="Heading1">
    <w:name w:val="heading 1"/>
    <w:basedOn w:val="Normal"/>
    <w:next w:val="Normal"/>
    <w:link w:val="Heading1Char"/>
    <w:uiPriority w:val="9"/>
    <w:qFormat/>
    <w:rsid w:val="00823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AF5"/>
    <w:rPr>
      <w:rFonts w:eastAsiaTheme="majorEastAsia" w:cstheme="majorBidi"/>
      <w:color w:val="272727" w:themeColor="text1" w:themeTint="D8"/>
    </w:rPr>
  </w:style>
  <w:style w:type="paragraph" w:styleId="Title">
    <w:name w:val="Title"/>
    <w:basedOn w:val="Normal"/>
    <w:next w:val="Normal"/>
    <w:link w:val="TitleChar"/>
    <w:uiPriority w:val="10"/>
    <w:qFormat/>
    <w:rsid w:val="00823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A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A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3AF5"/>
    <w:rPr>
      <w:i/>
      <w:iCs/>
      <w:color w:val="404040" w:themeColor="text1" w:themeTint="BF"/>
    </w:rPr>
  </w:style>
  <w:style w:type="paragraph" w:styleId="ListParagraph">
    <w:name w:val="List Paragraph"/>
    <w:basedOn w:val="Normal"/>
    <w:uiPriority w:val="34"/>
    <w:qFormat/>
    <w:rsid w:val="00823AF5"/>
    <w:pPr>
      <w:ind w:left="720"/>
      <w:contextualSpacing/>
    </w:pPr>
  </w:style>
  <w:style w:type="character" w:styleId="IntenseEmphasis">
    <w:name w:val="Intense Emphasis"/>
    <w:basedOn w:val="DefaultParagraphFont"/>
    <w:uiPriority w:val="21"/>
    <w:qFormat/>
    <w:rsid w:val="00823AF5"/>
    <w:rPr>
      <w:i/>
      <w:iCs/>
      <w:color w:val="0F4761" w:themeColor="accent1" w:themeShade="BF"/>
    </w:rPr>
  </w:style>
  <w:style w:type="paragraph" w:styleId="IntenseQuote">
    <w:name w:val="Intense Quote"/>
    <w:basedOn w:val="Normal"/>
    <w:next w:val="Normal"/>
    <w:link w:val="IntenseQuoteChar"/>
    <w:uiPriority w:val="30"/>
    <w:qFormat/>
    <w:rsid w:val="00823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AF5"/>
    <w:rPr>
      <w:i/>
      <w:iCs/>
      <w:color w:val="0F4761" w:themeColor="accent1" w:themeShade="BF"/>
    </w:rPr>
  </w:style>
  <w:style w:type="character" w:styleId="IntenseReference">
    <w:name w:val="Intense Reference"/>
    <w:basedOn w:val="DefaultParagraphFont"/>
    <w:uiPriority w:val="32"/>
    <w:qFormat/>
    <w:rsid w:val="00823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Dietlind Stolle, Prof</dc:creator>
  <cp:keywords/>
  <dc:description/>
  <cp:lastModifiedBy>Rafael Campos-Gottardo</cp:lastModifiedBy>
  <cp:revision>4</cp:revision>
  <dcterms:created xsi:type="dcterms:W3CDTF">2026-06-29T13:16:00Z</dcterms:created>
  <dcterms:modified xsi:type="dcterms:W3CDTF">2026-07-10T17:27:00Z</dcterms:modified>
</cp:coreProperties>
</file>