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Rafael Morais Martins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d5a6bd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R$49,00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R$51,00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R$149,00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R$150,00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RN-01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de R$151,00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RN-02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Verificar produto cadastrado mais de 90 dias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RN-02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Verificar produto cadastrado com menos de 90 dias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RN-03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Cadastrar 149 itens de uma vez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RN-03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Cadastrar 150 itens de uma vez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RN-03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Cadastrar 151 itens de uma vez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RN-04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Tentar cadastrar produto com conta de administrador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RN-04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Tentar cadastrar produto sem conta de administrador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CT09 - Cadastrar 149 itens de uma vez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CT10 - Cadastrar 150 itens de uma vez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CT07 - Verificar produto cadastrado mais de 90 dias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CT12 - Tentar cadastrar produto com conta de administrador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CT02 - Cadastro de produto com valor de R$50,00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CT03 - Cadastro de produto com valor de R$51,00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CT04 - Cadastro de produto com valor de R$149,00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CT05 - Cadastro de produto com valor de R$150,00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CT08 - Verificar produto cadastrado com menos de 90 dias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CT11 - Cadastrar 151 itens de uma vez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CT01 - Cadastro de produto com valor de R$49,00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CT06 - Cadastro de produto com valor de R$151,00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CT13 - Tentar cadastrar produto sem conta de administrador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&lt;Aqui você deve justificar os cenários de alto riscos inseridos nos quadrantes 4 e 3.&gt;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→ Caso os casos CT01 e CT06 aconteça, irá gerar um problema financeiro no cliente alto, portanto, isso pode gerar um impacto alto e deve ser corrigido o quanto antes.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→ Caso o caso CT13 aconteça, ou seja, uma conta comum consiga cadastrar um produto, pode gerar problema para os administradores, onde surgem novos produtos sem a supervisão deles.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→ O caso CT07 deve ser tratado com atenção pois, os produtos com mais de 90 dias de cadastro devem aparecer para o recadastro.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→ O caso CT12 deve ser corrigido o mais rápido possível, caso as contas de administrador não consiga cadastrar produtos, pode gerar problemas para o cliente.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