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00E506C3" w14:paraId="778738EC" w14:textId="31B01841">
      <w:pPr>
        <w:jc w:val="center"/>
        <w:rPr>
          <w:b w:val="1"/>
          <w:bCs w:val="1"/>
          <w:lang w:val="en-US"/>
        </w:rPr>
      </w:pPr>
      <w:r w:rsidRPr="320060E5" w:rsidR="320060E5">
        <w:rPr>
          <w:lang w:val="en-US"/>
        </w:rPr>
        <w:t>Third Party: DW/ODINS</w:t>
      </w:r>
    </w:p>
    <w:p w:rsidR="66146E86" w:rsidP="66146E86" w:rsidRDefault="66146E86" w14:paraId="72A3EA52" w14:textId="5D394403">
      <w:pPr>
        <w:pStyle w:val="Normal"/>
        <w:jc w:val="center"/>
        <w:rPr>
          <w:rFonts w:ascii="Calibri" w:hAnsi="Calibri" w:eastAsia="Calibri" w:cs="Calibri"/>
          <w:b w:val="0"/>
          <w:bCs w:val="0"/>
          <w:i w:val="0"/>
          <w:iCs w:val="0"/>
          <w:noProof w:val="0"/>
          <w:color w:val="000000" w:themeColor="text1" w:themeTint="FF" w:themeShade="FF"/>
          <w:sz w:val="24"/>
          <w:szCs w:val="24"/>
          <w:lang w:val="en-GB"/>
        </w:rPr>
      </w:pPr>
    </w:p>
    <w:p w:rsidR="66146E86" w:rsidP="66146E86" w:rsidRDefault="66146E86" w14:paraId="38AB278C" w14:textId="1C95380B">
      <w:pPr>
        <w:pStyle w:val="Normal"/>
        <w:jc w:val="center"/>
        <w:rPr>
          <w:rFonts w:ascii="Calibri" w:hAnsi="Calibri" w:eastAsia="Calibri" w:cs="Calibri"/>
          <w:b w:val="0"/>
          <w:bCs w:val="0"/>
          <w:i w:val="0"/>
          <w:iCs w:val="0"/>
          <w:noProof w:val="0"/>
          <w:color w:val="000000" w:themeColor="text1" w:themeTint="FF" w:themeShade="FF"/>
          <w:sz w:val="24"/>
          <w:szCs w:val="24"/>
          <w:lang w:val="en-US"/>
        </w:rPr>
      </w:pPr>
      <w:r w:rsidRPr="66146E86" w:rsidR="66146E86">
        <w:rPr>
          <w:rFonts w:ascii="Calibri" w:hAnsi="Calibri" w:eastAsia="Calibri" w:cs="Calibri"/>
          <w:b w:val="0"/>
          <w:bCs w:val="0"/>
          <w:i w:val="0"/>
          <w:iCs w:val="0"/>
          <w:noProof w:val="0"/>
          <w:color w:val="000000" w:themeColor="text1" w:themeTint="FF" w:themeShade="FF"/>
          <w:sz w:val="24"/>
          <w:szCs w:val="24"/>
          <w:lang w:val="en-GB"/>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xmlns:wp14="http://schemas.microsoft.com/office/word/2010/wordml" w:rsidR="66146E86" w:rsidTr="320060E5" w14:paraId="68D556A8" wp14:textId="77777777">
        <w:trPr>
          <w:trHeight w:val="855"/>
        </w:trPr>
        <w:tc>
          <w:tcPr>
            <w:tcW w:w="4080" w:type="dxa"/>
            <w:tcMar/>
            <w:vAlign w:val="center"/>
          </w:tcPr>
          <w:p w:rsidR="66146E86" w:rsidP="320060E5" w:rsidRDefault="66146E86" w14:paraId="29394ADD" w14:textId="087DB59A">
            <w:pPr>
              <w:spacing w:after="120"/>
              <w:jc w:val="center"/>
              <w:rPr>
                <w:rFonts w:ascii="Montserrat" w:hAnsi="Montserrat" w:eastAsia="Montserrat" w:cs="Montserrat"/>
                <w:b w:val="0"/>
                <w:bCs w:val="0"/>
                <w:i w:val="0"/>
                <w:iCs w:val="0"/>
                <w:sz w:val="22"/>
                <w:szCs w:val="22"/>
              </w:rPr>
            </w:pPr>
            <w:r w:rsidRPr="320060E5" w:rsidR="320060E5">
              <w:rPr>
                <w:rFonts w:ascii="Montserrat" w:hAnsi="Montserrat" w:eastAsia="Montserrat" w:cs="Montserrat"/>
                <w:b w:val="0"/>
                <w:bCs w:val="0"/>
                <w:i w:val="0"/>
                <w:iCs w:val="0"/>
                <w:sz w:val="22"/>
                <w:szCs w:val="22"/>
                <w:lang w:val="en-GB"/>
              </w:rPr>
              <w:t>Digital Worx GmbH (DW) - Germany</w:t>
            </w:r>
          </w:p>
        </w:tc>
        <w:tc>
          <w:tcPr>
            <w:tcW w:w="3000" w:type="dxa"/>
            <w:tcMar/>
            <w:vAlign w:val="center"/>
          </w:tcPr>
          <w:p w:rsidR="66146E86" w:rsidP="320060E5" w:rsidRDefault="66146E86" w14:paraId="2656EC85" w14:textId="6EE27BD1">
            <w:pPr>
              <w:pStyle w:val="Normal"/>
              <w:spacing w:after="120"/>
              <w:jc w:val="center"/>
            </w:pPr>
            <w:r>
              <w:drawing>
                <wp:inline xmlns:wp14="http://schemas.microsoft.com/office/word/2010/wordprocessingDrawing" wp14:editId="46F1E358" wp14:anchorId="7269A90C">
                  <wp:extent cx="1609725" cy="552450"/>
                  <wp:effectExtent l="0" t="0" r="0" b="0"/>
                  <wp:docPr id="1881177182" name="" title=""/>
                  <wp:cNvGraphicFramePr>
                    <a:graphicFrameLocks noChangeAspect="1"/>
                  </wp:cNvGraphicFramePr>
                  <a:graphic>
                    <a:graphicData uri="http://schemas.openxmlformats.org/drawingml/2006/picture">
                      <pic:pic>
                        <pic:nvPicPr>
                          <pic:cNvPr id="0" name=""/>
                          <pic:cNvPicPr/>
                        </pic:nvPicPr>
                        <pic:blipFill>
                          <a:blip r:embed="R9ca9ebbd2ec748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09725" cy="552450"/>
                          </a:xfrm>
                          <a:prstGeom xmlns:a="http://schemas.openxmlformats.org/drawingml/2006/main" prst="rect">
                            <a:avLst/>
                          </a:prstGeom>
                        </pic:spPr>
                      </pic:pic>
                    </a:graphicData>
                  </a:graphic>
                </wp:inline>
              </w:drawing>
            </w:r>
          </w:p>
        </w:tc>
      </w:tr>
      <w:tr xmlns:wp14="http://schemas.microsoft.com/office/word/2010/wordml" w:rsidR="66146E86" w:rsidTr="320060E5" w14:paraId="4BE9747A" wp14:textId="77777777">
        <w:trPr>
          <w:trHeight w:val="750"/>
        </w:trPr>
        <w:tc>
          <w:tcPr>
            <w:tcW w:w="4080" w:type="dxa"/>
            <w:tcMar/>
            <w:vAlign w:val="center"/>
          </w:tcPr>
          <w:p w:rsidR="66146E86" w:rsidP="320060E5" w:rsidRDefault="66146E86" w14:paraId="3C50EA0F" w14:textId="6FD68A43">
            <w:pPr>
              <w:pStyle w:val="Normal"/>
              <w:spacing w:after="120"/>
              <w:jc w:val="center"/>
              <w:rPr>
                <w:rFonts w:ascii="Montserrat" w:hAnsi="Montserrat" w:eastAsia="Montserrat" w:cs="Montserrat"/>
                <w:b w:val="0"/>
                <w:bCs w:val="0"/>
                <w:i w:val="0"/>
                <w:iCs w:val="0"/>
                <w:sz w:val="22"/>
                <w:szCs w:val="22"/>
              </w:rPr>
            </w:pPr>
            <w:r w:rsidRPr="320060E5" w:rsidR="320060E5">
              <w:rPr>
                <w:rFonts w:ascii="Montserrat" w:hAnsi="Montserrat" w:eastAsia="Montserrat" w:cs="Montserrat"/>
                <w:b w:val="0"/>
                <w:bCs w:val="0"/>
                <w:i w:val="0"/>
                <w:iCs w:val="0"/>
                <w:sz w:val="22"/>
                <w:szCs w:val="22"/>
                <w:lang w:val="en-GB"/>
              </w:rPr>
              <w:t>Odin Solutions SL (ODINS) - Spain</w:t>
            </w:r>
          </w:p>
        </w:tc>
        <w:tc>
          <w:tcPr>
            <w:tcW w:w="3000" w:type="dxa"/>
            <w:tcMar/>
            <w:vAlign w:val="center"/>
          </w:tcPr>
          <w:p w:rsidR="66146E86" w:rsidP="320060E5" w:rsidRDefault="66146E86" w14:paraId="7D4A8F98" w14:textId="2A7314F5">
            <w:pPr>
              <w:pStyle w:val="Normal"/>
              <w:spacing w:after="120"/>
              <w:jc w:val="center"/>
              <w:rPr>
                <w:rFonts w:ascii="Calibri" w:hAnsi="Calibri" w:eastAsia="Calibri" w:cs="Calibri"/>
                <w:b w:val="0"/>
                <w:bCs w:val="0"/>
                <w:i w:val="0"/>
                <w:iCs w:val="0"/>
                <w:sz w:val="24"/>
                <w:szCs w:val="24"/>
              </w:rPr>
            </w:pPr>
            <w:r>
              <w:drawing>
                <wp:inline xmlns:wp14="http://schemas.microsoft.com/office/word/2010/wordprocessingDrawing" wp14:editId="5694D09D" wp14:anchorId="4305AAED">
                  <wp:extent cx="1609725" cy="533400"/>
                  <wp:effectExtent l="0" t="0" r="0" b="0"/>
                  <wp:docPr id="204810668" name="" title=""/>
                  <wp:cNvGraphicFramePr>
                    <a:graphicFrameLocks noChangeAspect="1"/>
                  </wp:cNvGraphicFramePr>
                  <a:graphic>
                    <a:graphicData uri="http://schemas.openxmlformats.org/drawingml/2006/picture">
                      <pic:pic>
                        <pic:nvPicPr>
                          <pic:cNvPr id="0" name=""/>
                          <pic:cNvPicPr/>
                        </pic:nvPicPr>
                        <pic:blipFill>
                          <a:blip r:embed="R26c89240c2eb47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09725" cy="533400"/>
                          </a:xfrm>
                          <a:prstGeom xmlns:a="http://schemas.openxmlformats.org/drawingml/2006/main" prst="rect">
                            <a:avLst/>
                          </a:prstGeom>
                        </pic:spPr>
                      </pic:pic>
                    </a:graphicData>
                  </a:graphic>
                </wp:inline>
              </w:drawing>
            </w:r>
          </w:p>
        </w:tc>
      </w:tr>
    </w:tbl>
    <w:p w:rsidR="66146E86" w:rsidP="66146E86" w:rsidRDefault="66146E86" w14:paraId="6AAE0739" w14:textId="454BCA57">
      <w:pPr>
        <w:pStyle w:val="Normal"/>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proofErr w:type="spellStart"/>
      <w:r w:rsidRPr="66F40E99">
        <w:rPr>
          <w:lang w:val="en-US"/>
        </w:rPr>
        <w:t>IoTrust</w:t>
      </w:r>
      <w:proofErr w:type="spellEnd"/>
      <w:r w:rsidRPr="66F40E99">
        <w:rPr>
          <w:lang w:val="en-US"/>
        </w:rPr>
        <w:t xml:space="preserve"> Architecture Design</w:t>
      </w:r>
    </w:p>
    <w:p w:rsidRPr="00312082" w:rsidR="001C7E99" w:rsidP="001C7E99" w:rsidRDefault="001C7E99" w14:paraId="0E00FBAE" w14:textId="77777777">
      <w:pPr>
        <w:rPr>
          <w:lang w:val="en-US"/>
        </w:rPr>
      </w:pPr>
    </w:p>
    <w:tbl>
      <w:tblPr>
        <w:tblStyle w:val="Tablaconcuadrcula"/>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Mar/>
          </w:tcPr>
          <w:p w:rsidRPr="00554AE7" w:rsidR="001C7E99" w:rsidP="00222A53" w:rsidRDefault="001C7E99" w14:paraId="56C408CB" w14:textId="77777777">
            <w:pPr>
              <w:jc w:val="right"/>
              <w:rPr>
                <w:b/>
                <w:szCs w:val="22"/>
              </w:rPr>
            </w:pPr>
            <w:r w:rsidRPr="00554AE7">
              <w:rPr>
                <w:b/>
                <w:szCs w:val="22"/>
              </w:rPr>
              <w:t>Deliverables leader:</w:t>
            </w:r>
          </w:p>
        </w:tc>
        <w:tc>
          <w:tcPr>
            <w:tcW w:w="6189" w:type="dxa"/>
            <w:tcMar/>
          </w:tcPr>
          <w:p w:rsidRPr="00554AE7" w:rsidR="001C7E99" w:rsidP="66F40E99" w:rsidRDefault="66F40E99" w14:paraId="399231A2" w14:textId="0D940E0F">
            <w:pPr>
              <w:rPr>
                <w:b/>
                <w:bCs/>
              </w:rPr>
            </w:pPr>
            <w:r w:rsidRPr="66F40E99">
              <w:rPr>
                <w:b/>
                <w:bCs/>
              </w:rPr>
              <w:t>Digital Worx GmbH, Germany</w:t>
            </w:r>
          </w:p>
        </w:tc>
      </w:tr>
      <w:tr w:rsidRPr="00554AE7" w:rsidR="001C7E99" w:rsidTr="66146E86" w14:paraId="64B04E15" w14:textId="77777777">
        <w:trPr>
          <w:trHeight w:val="422"/>
        </w:trPr>
        <w:tc>
          <w:tcPr>
            <w:tcW w:w="2821" w:type="dxa"/>
            <w:shd w:val="clear" w:color="auto" w:fill="D9D9D9" w:themeFill="background1" w:themeFillShade="D9"/>
            <w:tcMar/>
          </w:tcPr>
          <w:p w:rsidRPr="00554AE7" w:rsidR="001C7E99" w:rsidP="00222A53" w:rsidRDefault="001C7E99" w14:paraId="29066BBF" w14:textId="77777777">
            <w:pPr>
              <w:jc w:val="right"/>
              <w:rPr>
                <w:b/>
                <w:szCs w:val="22"/>
              </w:rPr>
            </w:pPr>
            <w:r w:rsidRPr="00554AE7">
              <w:rPr>
                <w:b/>
                <w:szCs w:val="22"/>
              </w:rPr>
              <w:t>Authors:</w:t>
            </w:r>
          </w:p>
        </w:tc>
        <w:tc>
          <w:tcPr>
            <w:tcW w:w="6189" w:type="dxa"/>
            <w:tcMar/>
          </w:tcPr>
          <w:p w:rsidRPr="00554AE7" w:rsidR="001C7E99" w:rsidP="00222A53" w:rsidRDefault="66F40E99" w14:paraId="76603A7A" w14:textId="726C2179">
            <w:r w:rsidR="66146E86">
              <w:rPr/>
              <w:t>Rohit Bohara, Jesus Sanchez-Gomez</w:t>
            </w:r>
          </w:p>
        </w:tc>
      </w:tr>
      <w:tr w:rsidRPr="00554AE7" w:rsidR="001C7E99" w:rsidTr="66146E86" w14:paraId="43941873" w14:textId="77777777">
        <w:trPr>
          <w:trHeight w:val="413"/>
        </w:trPr>
        <w:tc>
          <w:tcPr>
            <w:tcW w:w="2821" w:type="dxa"/>
            <w:shd w:val="clear" w:color="auto" w:fill="D9D9D9" w:themeFill="background1" w:themeFillShade="D9"/>
            <w:tcMar/>
          </w:tcPr>
          <w:p w:rsidRPr="00554AE7" w:rsidR="001C7E99" w:rsidP="00222A53" w:rsidRDefault="001C7E99" w14:paraId="5AB06DE5" w14:textId="77777777">
            <w:pPr>
              <w:jc w:val="right"/>
              <w:rPr>
                <w:b/>
                <w:szCs w:val="22"/>
              </w:rPr>
            </w:pPr>
            <w:r w:rsidRPr="00554AE7">
              <w:rPr>
                <w:b/>
                <w:szCs w:val="22"/>
              </w:rPr>
              <w:t>Due date:</w:t>
            </w:r>
          </w:p>
        </w:tc>
        <w:tc>
          <w:tcPr>
            <w:tcW w:w="6189" w:type="dxa"/>
            <w:tcMar/>
          </w:tcPr>
          <w:p w:rsidRPr="00554AE7" w:rsidR="001C7E99" w:rsidP="00222A53" w:rsidRDefault="66F40E99" w14:paraId="3D74C41B" w14:textId="0484EC88">
            <w:r w:rsidR="66146E86">
              <w:rPr/>
              <w:t>31-01-2021</w:t>
            </w:r>
          </w:p>
        </w:tc>
      </w:tr>
      <w:tr w:rsidRPr="00554AE7" w:rsidR="001C7E99" w:rsidTr="66146E86" w14:paraId="1328689A" w14:textId="77777777">
        <w:trPr>
          <w:trHeight w:val="391"/>
        </w:trPr>
        <w:tc>
          <w:tcPr>
            <w:tcW w:w="2821" w:type="dxa"/>
            <w:shd w:val="clear" w:color="auto" w:fill="D9D9D9" w:themeFill="background1" w:themeFillShade="D9"/>
            <w:tcMar/>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Mar/>
          </w:tcPr>
          <w:p w:rsidRPr="00554AE7" w:rsidR="001C7E99" w:rsidP="00222A53" w:rsidRDefault="66F40E99" w14:paraId="387F9FF6" w14:textId="3FD5EDB4">
            <w:r w:rsidR="66146E86">
              <w:rPr/>
              <w:t>15-01-2021</w:t>
            </w:r>
          </w:p>
        </w:tc>
      </w:tr>
      <w:tr w:rsidRPr="00554AE7" w:rsidR="001C7E99" w:rsidTr="66146E86" w14:paraId="041266FD" w14:textId="77777777">
        <w:trPr>
          <w:trHeight w:val="420"/>
        </w:trPr>
        <w:tc>
          <w:tcPr>
            <w:tcW w:w="2821" w:type="dxa"/>
            <w:shd w:val="clear" w:color="auto" w:fill="D9D9D9" w:themeFill="background1" w:themeFillShade="D9"/>
            <w:tcMar/>
          </w:tcPr>
          <w:p w:rsidRPr="00554AE7" w:rsidR="001C7E99" w:rsidP="00222A53" w:rsidRDefault="001C7E99" w14:paraId="10419352" w14:textId="77777777">
            <w:pPr>
              <w:jc w:val="right"/>
              <w:rPr>
                <w:b/>
                <w:szCs w:val="22"/>
              </w:rPr>
            </w:pPr>
            <w:r w:rsidRPr="00554AE7">
              <w:rPr>
                <w:b/>
                <w:szCs w:val="22"/>
              </w:rPr>
              <w:t>Dissemination level:</w:t>
            </w:r>
          </w:p>
        </w:tc>
        <w:tc>
          <w:tcPr>
            <w:tcW w:w="6189" w:type="dxa"/>
            <w:tcMar/>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001C7E99" w:rsidP="001C7E99" w:rsidRDefault="001C7E99" w14:paraId="61ACA167" w14:textId="69CEF766">
      <w:pPr>
        <w:rPr>
          <w:szCs w:val="22"/>
        </w:rPr>
      </w:pPr>
      <w:r w:rsidRPr="00801E26">
        <w:rPr>
          <w:szCs w:val="22"/>
        </w:rPr>
        <w:t>This document may change without notice.</w:t>
      </w:r>
    </w:p>
    <w:p w:rsidRPr="00801E26" w:rsidR="00F76410" w:rsidP="001C7E99" w:rsidRDefault="00F76410" w14:paraId="43F5F4E1" w14:textId="77777777">
      <w:pPr>
        <w:rPr>
          <w:szCs w:val="22"/>
        </w:rPr>
      </w:pPr>
    </w:p>
    <w:p w:rsidRPr="00F76410" w:rsidR="001C7E99" w:rsidP="00F76410" w:rsidRDefault="001C7E99" w14:paraId="5AAC3D7A" w14:textId="7791C78F">
      <w:pPr>
        <w:rPr>
          <w:b/>
          <w:bCs/>
          <w:color w:val="FFC000" w:themeColor="accent4"/>
        </w:rPr>
      </w:pPr>
      <w:bookmarkStart w:name="_Toc535313301" w:id="0"/>
      <w:bookmarkStart w:name="_Toc535313399" w:id="1"/>
      <w:bookmarkStart w:name="_Toc535314307" w:id="2"/>
      <w:bookmarkStart w:name="_Toc535314360" w:id="3"/>
      <w:r w:rsidRPr="00F76410">
        <w:rPr>
          <w:b/>
          <w:bCs/>
          <w:color w:val="FFC000" w:themeColor="accent4"/>
        </w:rPr>
        <w:t>Table of content</w:t>
      </w:r>
      <w:bookmarkEnd w:id="0"/>
      <w:bookmarkEnd w:id="1"/>
      <w:bookmarkEnd w:id="2"/>
      <w:bookmarkEnd w:id="3"/>
      <w:r w:rsidR="00F76410">
        <w:rPr>
          <w:b/>
          <w:bCs/>
          <w:color w:val="FFC000" w:themeColor="accent4"/>
        </w:rPr>
        <w:t>s</w:t>
      </w:r>
    </w:p>
    <w:p w:rsidR="00E22BC2" w:rsidRDefault="001C7E99" w14:paraId="6241B40D" w14:textId="01965A4E">
      <w:pPr>
        <w:pStyle w:val="TDC1"/>
        <w:tabs>
          <w:tab w:val="left" w:pos="480"/>
          <w:tab w:val="right" w:leader="dot" w:pos="9010"/>
        </w:tabs>
        <w:rPr>
          <w:rFonts w:asciiTheme="minorHAnsi" w:hAnsiTheme="minorHAnsi" w:eastAsiaTheme="minorEastAsia"/>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history="1" w:anchor="_Toc26358819">
        <w:r w:rsidRPr="00FB7A68" w:rsidR="00E22BC2">
          <w:rPr>
            <w:rStyle w:val="Hipervnculo"/>
            <w:noProof/>
          </w:rPr>
          <w:t>1</w:t>
        </w:r>
        <w:r w:rsidR="00E22BC2">
          <w:rPr>
            <w:rFonts w:asciiTheme="minorHAnsi" w:hAnsiTheme="minorHAnsi" w:eastAsiaTheme="minorEastAsia"/>
            <w:noProof/>
            <w:color w:val="auto"/>
            <w:sz w:val="24"/>
            <w:lang w:val="en-US" w:eastAsia="en-GB"/>
          </w:rPr>
          <w:tab/>
        </w:r>
        <w:r w:rsidRPr="00FB7A68" w:rsidR="00E22BC2">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C6DCF" w14:paraId="0DA53BCE" w14:textId="00688B36">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0">
        <w:r w:rsidRPr="00FB7A68" w:rsidR="00E22BC2">
          <w:rPr>
            <w:rStyle w:val="Hipervnculo"/>
            <w:noProof/>
          </w:rPr>
          <w:t>2</w:t>
        </w:r>
        <w:r w:rsidR="00E22BC2">
          <w:rPr>
            <w:rFonts w:asciiTheme="minorHAnsi" w:hAnsiTheme="minorHAnsi" w:eastAsiaTheme="minorEastAsia"/>
            <w:noProof/>
            <w:color w:val="auto"/>
            <w:sz w:val="24"/>
            <w:lang w:val="en-US" w:eastAsia="en-GB"/>
          </w:rPr>
          <w:tab/>
        </w:r>
        <w:r w:rsidRPr="00FB7A68" w:rsidR="00E22BC2">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C6DCF" w14:paraId="16F40297" w14:textId="6D5960EC">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1">
        <w:r w:rsidRPr="00FB7A68" w:rsidR="00E22BC2">
          <w:rPr>
            <w:rStyle w:val="Hipervnculo"/>
            <w:noProof/>
          </w:rPr>
          <w:t>3</w:t>
        </w:r>
        <w:r w:rsidR="00E22BC2">
          <w:rPr>
            <w:rFonts w:asciiTheme="minorHAnsi" w:hAnsiTheme="minorHAnsi" w:eastAsiaTheme="minorEastAsia"/>
            <w:noProof/>
            <w:color w:val="auto"/>
            <w:sz w:val="24"/>
            <w:lang w:val="en-US" w:eastAsia="en-GB"/>
          </w:rPr>
          <w:tab/>
        </w:r>
        <w:r w:rsidRPr="00FB7A68" w:rsidR="00E22BC2">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C6DCF" w14:paraId="2A14098A" w14:textId="53C502AB">
      <w:pPr>
        <w:pStyle w:val="TDC1"/>
        <w:tabs>
          <w:tab w:val="left" w:pos="480"/>
          <w:tab w:val="right" w:leader="dot" w:pos="9010"/>
        </w:tabs>
        <w:rPr>
          <w:rFonts w:asciiTheme="minorHAnsi" w:hAnsiTheme="minorHAnsi" w:eastAsiaTheme="minorEastAsia"/>
          <w:noProof/>
          <w:color w:val="auto"/>
          <w:sz w:val="24"/>
          <w:lang w:val="en-US" w:eastAsia="en-GB"/>
        </w:rPr>
      </w:pPr>
      <w:hyperlink w:history="1" w:anchor="_Toc26358822">
        <w:r w:rsidRPr="00FB7A68" w:rsidR="00E22BC2">
          <w:rPr>
            <w:rStyle w:val="Hipervnculo"/>
            <w:noProof/>
          </w:rPr>
          <w:t>4</w:t>
        </w:r>
        <w:r w:rsidR="00E22BC2">
          <w:rPr>
            <w:rFonts w:asciiTheme="minorHAnsi" w:hAnsiTheme="minorHAnsi" w:eastAsiaTheme="minorEastAsia"/>
            <w:noProof/>
            <w:color w:val="auto"/>
            <w:sz w:val="24"/>
            <w:lang w:val="en-US" w:eastAsia="en-GB"/>
          </w:rPr>
          <w:tab/>
        </w:r>
        <w:r w:rsidRPr="00FB7A68" w:rsidR="00E22BC2">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rsidR="00E22BC2" w:rsidRDefault="000C6DCF" w14:paraId="5DBEACD3" w14:textId="4C1FBCC2">
      <w:pPr>
        <w:pStyle w:val="TDC1"/>
        <w:tabs>
          <w:tab w:val="right" w:leader="dot" w:pos="9010"/>
        </w:tabs>
        <w:rPr>
          <w:rFonts w:asciiTheme="minorHAnsi" w:hAnsiTheme="minorHAnsi" w:eastAsiaTheme="minorEastAsia"/>
          <w:noProof/>
          <w:color w:val="auto"/>
          <w:sz w:val="24"/>
          <w:lang w:val="en-US" w:eastAsia="en-GB"/>
        </w:rPr>
      </w:pPr>
      <w:hyperlink w:history="1" w:anchor="_Toc26358823">
        <w:r w:rsidRPr="00FB7A68" w:rsidR="00E22BC2">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rsidRPr="00A14A98" w:rsidR="001C7E99" w:rsidP="00F76410" w:rsidRDefault="001C7E99" w14:paraId="643E37D1" w14:textId="76F9159B">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8"/>
          <w:footerReference w:type="even" r:id="rId9"/>
          <w:footerReference w:type="default" r:id="rId10"/>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001C7E99" w14:paraId="0375E838" w14:textId="0267A195">
      <w:pPr>
        <w:pStyle w:val="Ttulo1"/>
        <w:numPr>
          <w:ilvl w:val="0"/>
          <w:numId w:val="2"/>
        </w:numPr>
        <w:pBdr>
          <w:bottom w:val="none" w:color="auto" w:sz="0" w:space="0"/>
        </w:pBdr>
        <w:ind w:left="432"/>
        <w:jc w:val="left"/>
      </w:pPr>
      <w:bookmarkStart w:name="_Toc26358819" w:id="10"/>
      <w:r w:rsidRPr="00801E26">
        <w:t>Introduction</w:t>
      </w:r>
      <w:bookmarkEnd w:id="4"/>
      <w:bookmarkEnd w:id="5"/>
      <w:bookmarkEnd w:id="6"/>
      <w:bookmarkEnd w:id="7"/>
      <w:bookmarkEnd w:id="8"/>
      <w:bookmarkEnd w:id="9"/>
      <w:bookmarkEnd w:id="10"/>
    </w:p>
    <w:p w:rsidR="00226044" w:rsidP="00790399" w:rsidRDefault="4C8FC267" w14:paraId="7A12AA35" w14:textId="6CBE32D8">
      <w:r>
        <w:t>The deliverable</w:t>
      </w:r>
      <w:r w:rsidRPr="4C8FC267">
        <w:rPr>
          <w:b/>
          <w:bCs/>
        </w:rPr>
        <w:t xml:space="preserve"> D.1 </w:t>
      </w:r>
      <w:proofErr w:type="spellStart"/>
      <w:r w:rsidRPr="4C8FC267">
        <w:rPr>
          <w:b/>
          <w:bCs/>
        </w:rPr>
        <w:t>IoTtrust</w:t>
      </w:r>
      <w:proofErr w:type="spellEnd"/>
      <w:r w:rsidRPr="4C8FC267">
        <w:rPr>
          <w:b/>
          <w:bCs/>
        </w:rPr>
        <w:t xml:space="preserve"> Architecture Design</w:t>
      </w:r>
      <w:r>
        <w:t xml:space="preserve"> fulfils the objective </w:t>
      </w:r>
      <w:r w:rsidRPr="4C8FC267">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4C8FC267">
        <w:rPr>
          <w:b/>
          <w:bCs/>
        </w:rPr>
        <w:t xml:space="preserve">T.1 </w:t>
      </w:r>
      <w:proofErr w:type="spellStart"/>
      <w:r w:rsidRPr="4C8FC267">
        <w:rPr>
          <w:b/>
          <w:bCs/>
        </w:rPr>
        <w:t>IoTrust</w:t>
      </w:r>
      <w:proofErr w:type="spellEnd"/>
      <w:r w:rsidRPr="4C8FC267">
        <w:rPr>
          <w:b/>
          <w:bCs/>
        </w:rPr>
        <w:t xml:space="preserve"> Architecture Design</w:t>
      </w:r>
      <w:r>
        <w:t xml:space="preserve">. The task T.1 was completed in the duration of month M1 to M6. The DW was the leader of the task. The milestone </w:t>
      </w:r>
      <w:r w:rsidRPr="4C8FC267">
        <w:rPr>
          <w:b/>
          <w:bCs/>
        </w:rPr>
        <w:t xml:space="preserve">MS2 Enhanced final version of </w:t>
      </w:r>
      <w:proofErr w:type="spellStart"/>
      <w:r w:rsidRPr="4C8FC267">
        <w:rPr>
          <w:b/>
          <w:bCs/>
        </w:rPr>
        <w:t>IoTrust</w:t>
      </w:r>
      <w:proofErr w:type="spellEnd"/>
      <w:r w:rsidRPr="4C8FC267">
        <w:rPr>
          <w:b/>
          <w:bCs/>
        </w:rPr>
        <w:t xml:space="preserve"> architecture</w:t>
      </w:r>
      <w:r>
        <w:t xml:space="preserve"> was achieved by D.1. The milestone MS2 is the advanced version of the MS1.</w:t>
      </w:r>
    </w:p>
    <w:p w:rsidR="005E14EF" w:rsidP="001C7E99" w:rsidRDefault="50843FD9" w14:paraId="38D76623" w14:textId="3A7631DE">
      <w:pPr>
        <w:pStyle w:val="Ttulo1"/>
        <w:numPr>
          <w:ilvl w:val="0"/>
          <w:numId w:val="2"/>
        </w:numPr>
        <w:pBdr>
          <w:bottom w:val="none" w:color="auto" w:sz="0" w:space="0"/>
        </w:pBdr>
        <w:ind w:left="432"/>
        <w:jc w:val="left"/>
      </w:pPr>
      <w:bookmarkStart w:name="_Toc26358820" w:id="11"/>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r>
        <w:t xml:space="preserve">Activities carried out to complete the deliverable </w:t>
      </w:r>
      <w:bookmarkEnd w:id="11"/>
    </w:p>
    <w:p w:rsidR="66F40E99" w:rsidP="66F40E99" w:rsidRDefault="66F40E99" w14:paraId="6E2B928D" w14:textId="657F77EC">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rsidR="66F40E99" w:rsidP="66F40E99" w:rsidRDefault="4C8FC267" w14:paraId="4C1D40EC" w14:textId="3123D109">
      <w:r>
        <w:t>The task T.1 was performed based on Agile SCRUM</w:t>
      </w:r>
      <w:r w:rsidRPr="4C8FC267" w:rsidR="50843FD9">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1">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2">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3">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005E14EF" w14:paraId="0DFBB70C" w14:textId="4BC613F3">
      <w:pPr>
        <w:pStyle w:val="Ttulo1"/>
        <w:numPr>
          <w:ilvl w:val="0"/>
          <w:numId w:val="2"/>
        </w:numPr>
        <w:pBdr>
          <w:bottom w:val="none" w:color="auto" w:sz="0" w:space="0"/>
        </w:pBdr>
        <w:ind w:left="432"/>
        <w:jc w:val="left"/>
        <w:rPr/>
      </w:pPr>
      <w:bookmarkStart w:name="_Toc26358821" w:id="20"/>
      <w:bookmarkEnd w:id="12"/>
      <w:bookmarkEnd w:id="13"/>
      <w:bookmarkEnd w:id="14"/>
      <w:bookmarkEnd w:id="15"/>
      <w:bookmarkEnd w:id="16"/>
      <w:bookmarkEnd w:id="17"/>
      <w:bookmarkEnd w:id="18"/>
      <w:bookmarkEnd w:id="19"/>
      <w:r w:rsidR="66146E86">
        <w:rPr/>
        <w:t>Technical description</w:t>
      </w:r>
      <w:bookmarkEnd w:id="20"/>
    </w:p>
    <w:p w:rsidR="769C1A34" w:rsidP="769C1A34" w:rsidRDefault="4C8FC267" w14:paraId="60CB14EF" w14:textId="619953BB">
      <w:r w:rsidR="66146E86">
        <w:rPr/>
        <w:t xml:space="preserve">The core aim of the deliverable D.1 was to prepare an advanced </w:t>
      </w:r>
      <w:proofErr w:type="spellStart"/>
      <w:r w:rsidR="66146E86">
        <w:rPr/>
        <w:t>IoTrust</w:t>
      </w:r>
      <w:proofErr w:type="spellEnd"/>
      <w:r w:rsidR="66146E86">
        <w:rPr/>
        <w:t xml:space="preserve"> architecture design with an iterative process. There are many aspects to the architecture design. We have analysed and </w:t>
      </w:r>
      <w:r w:rsidR="66146E86">
        <w:rPr/>
        <w:t>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Figure 1 [</w:t>
      </w:r>
      <w:r w:rsidRPr="66146E86" w:rsidR="66146E86">
        <w:rPr>
          <w:color w:val="FF0000"/>
        </w:rPr>
        <w:t>fig ref</w:t>
      </w:r>
      <w:r w:rsidR="66146E86">
        <w:rPr/>
        <w:t xml:space="preserve">] illustrates the overall </w:t>
      </w:r>
      <w:proofErr w:type="spellStart"/>
      <w:r w:rsidR="66146E86">
        <w:rPr/>
        <w:t>IoTrust</w:t>
      </w:r>
      <w:proofErr w:type="spellEnd"/>
      <w:r w:rsidR="66146E86">
        <w:rPr/>
        <w:t xml:space="preserve"> </w:t>
      </w:r>
      <w:r w:rsidR="66146E86">
        <w:rPr/>
        <w:t>architecture</w:t>
      </w:r>
      <w:r w:rsidR="66146E86">
        <w:rPr/>
        <w:t>.</w:t>
      </w:r>
    </w:p>
    <w:p w:rsidR="4C8FC267" w:rsidP="66146E86" w:rsidRDefault="4C8FC267" w14:paraId="22EBADAA" w14:textId="62270417">
      <w:pPr>
        <w:jc w:val="center"/>
      </w:pPr>
      <w:r>
        <w:drawing>
          <wp:inline wp14:editId="7B8F5D74" wp14:anchorId="2B68C29E">
            <wp:extent cx="5514975" cy="2171522"/>
            <wp:effectExtent l="0" t="0" r="0" b="0"/>
            <wp:docPr id="1795027700" name="" title=""/>
            <wp:cNvGraphicFramePr>
              <a:graphicFrameLocks noChangeAspect="1"/>
            </wp:cNvGraphicFramePr>
            <a:graphic>
              <a:graphicData uri="http://schemas.openxmlformats.org/drawingml/2006/picture">
                <pic:pic>
                  <pic:nvPicPr>
                    <pic:cNvPr id="0" name=""/>
                    <pic:cNvPicPr/>
                  </pic:nvPicPr>
                  <pic:blipFill>
                    <a:blip r:embed="Rb54188e4f41648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7D42DC" w:rsidR="008B2958" w:rsidP="66146E86" w:rsidRDefault="008B2958" w14:paraId="03C92F17" w14:textId="4DE80432">
      <w:pPr>
        <w:jc w:val="center"/>
        <w:rPr>
          <w:b w:val="1"/>
          <w:bCs w:val="1"/>
        </w:rPr>
      </w:pPr>
      <w:r w:rsidRPr="66146E86" w:rsidR="66146E86">
        <w:rPr>
          <w:b w:val="1"/>
          <w:bCs w:val="1"/>
        </w:rPr>
        <w:t xml:space="preserve">Figure 1: The </w:t>
      </w:r>
      <w:proofErr w:type="spellStart"/>
      <w:r w:rsidRPr="66146E86" w:rsidR="66146E86">
        <w:rPr>
          <w:b w:val="1"/>
          <w:bCs w:val="1"/>
        </w:rPr>
        <w:t>IoTrust</w:t>
      </w:r>
      <w:proofErr w:type="spellEnd"/>
      <w:r w:rsidRPr="66146E86" w:rsidR="66146E86">
        <w:rPr>
          <w:b w:val="1"/>
          <w:bCs w:val="1"/>
        </w:rPr>
        <w:t xml:space="preserve"> Architecture</w:t>
      </w:r>
    </w:p>
    <w:p w:rsidR="008B2958" w:rsidP="6078CAA3" w:rsidRDefault="008B2958" w14:paraId="66B29ABD" w14:textId="77777777" w14:noSpellErr="1">
      <w:pPr/>
    </w:p>
    <w:p w:rsidR="6078CAA3" w:rsidP="6078CAA3" w:rsidRDefault="4C8FC267" w14:paraId="1AA89941" w14:textId="58203589">
      <w:r>
        <w:t>The architecture components are described as follows.</w:t>
      </w:r>
    </w:p>
    <w:p w:rsidR="6078CAA3" w:rsidP="6078CAA3" w:rsidRDefault="4C8FC267" w14:paraId="4EFA647F" w14:textId="197BDF2E">
      <w:pPr>
        <w:pStyle w:val="Ttulo2"/>
      </w:pPr>
      <w:r>
        <w:t>End-Device</w:t>
      </w:r>
    </w:p>
    <w:p w:rsidR="6078CAA3" w:rsidP="6078CAA3" w:rsidRDefault="4C8FC267" w14:paraId="49A5BA94" w14:textId="4686E8BD">
      <w:r w:rsidR="66146E86">
        <w:rPr/>
        <w:t xml:space="preserve">It is a small form-factor hardware which sits on the edge of an IoT network. It consists of microcontroller, memory, input/output peripherals, communication protocol etc. These end-devices are put in to work for a specialized task. These end-devices are typically installed in </w:t>
      </w:r>
      <w:proofErr w:type="gramStart"/>
      <w:r w:rsidR="66146E86">
        <w:rPr/>
        <w:t>hard to reach</w:t>
      </w:r>
      <w:proofErr w:type="gramEnd"/>
      <w:r w:rsidR="66146E86">
        <w:rPr/>
        <w:t xml:space="preserve"> locations or in adverse condition, and are meant to work autonomously without human supervision during months or even years. For this purpose, these devices are commonly operated using a battery and do not include user interfaces such as keypads or displays. In some cases, they’re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4C8FC267" w14:paraId="0D33C96D" w14:textId="3C0E78CD">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6078CAA3" w:rsidP="6078CAA3" w:rsidRDefault="6078CAA3" w14:paraId="011F8C10" w14:textId="5302E28D">
      <w:r>
        <w:rPr/>
        <w:t xml:space="preserve">The </w:t>
      </w:r>
      <w:r w:rsidR="0028178D">
        <w:rPr/>
        <w:t>Smart Everything (SME) Lion</w:t>
      </w:r>
      <w:r w:rsidRPr="6078CAA3">
        <w:rPr>
          <w:rStyle w:val="Refdenotaalfinal"/>
        </w:rPr>
        <w:endnoteReference w:id="7"/>
      </w:r>
      <w:r>
        <w:rPr/>
        <w:t xml:space="preserve"> </w:t>
      </w:r>
      <w:r w:rsidRPr="6078CAA3">
        <w:rPr>
          <w:rStyle w:val="Refdenotaalfinal"/>
        </w:rPr>
        <w:endnoteReference w:id="8"/>
      </w:r>
      <w:r>
        <w:rPr/>
        <w:t xml:space="preserve"> development board will be employed as an end</w:t>
      </w:r>
      <w:r w:rsidR="0028178D">
        <w:rPr/>
        <w:t>-</w:t>
      </w:r>
      <w:r>
        <w:rPr/>
        <w:t xml:space="preserve">device for the </w:t>
      </w:r>
      <w:proofErr w:type="spellStart"/>
      <w:r>
        <w:rPr/>
        <w:t>IoTrust</w:t>
      </w:r>
      <w:proofErr w:type="spellEnd"/>
      <w:r>
        <w:rPr/>
        <w:t xml:space="preserve"> project. It is designed and developed b</w:t>
      </w:r>
      <w:r w:rsidR="00C031D0">
        <w:rPr/>
        <w:t>y Arrow</w:t>
      </w:r>
      <w:ins w:author="Jesús Sánchez-Gómez" w:date="2020-12-29T20:08:00Z" w:id="45">
        <w:r w:rsidR="00C031D0">
          <w:rPr>
            <w:rStyle w:val="Refdenotaalpie"/>
          </w:rPr>
          <w:footnoteReference w:id="1"/>
        </w:r>
      </w:ins>
      <w:r>
        <w:rPr/>
        <w:t xml:space="preserve">. It is packed with Atmel </w:t>
      </w:r>
      <w:r w:rsidR="0028178D">
        <w:rPr/>
        <w:t>SAM</w:t>
      </w:r>
      <w:r>
        <w:rPr/>
        <w:t>D21</w:t>
      </w:r>
      <w:r w:rsidRPr="4C8FC267">
        <w:rPr>
          <w:rStyle w:val="Refdenotaalfinal"/>
        </w:rPr>
        <w:endnoteReference w:id="9"/>
      </w:r>
      <w:r>
        <w:rPr/>
        <w:t xml:space="preserve"> microcontroller</w:t>
      </w:r>
      <w:r w:rsidR="0028178D">
        <w:rPr/>
        <w:t xml:space="preserve"> based on the ARM Cortex M0+ architecture</w:t>
      </w:r>
      <w:r>
        <w:rPr/>
        <w:t xml:space="preserve">, Microchip RN2483 </w:t>
      </w:r>
      <w:proofErr w:type="spellStart"/>
      <w:r>
        <w:rPr/>
        <w:t>LoRa</w:t>
      </w:r>
      <w:r w:rsidR="0028178D">
        <w:rPr/>
        <w:t>WAN</w:t>
      </w:r>
      <w:proofErr w:type="spellEnd"/>
      <w:r>
        <w:rPr/>
        <w:t xml:space="preserve"> module, </w:t>
      </w:r>
      <w:r>
        <w:rPr/>
        <w:t>Telit</w:t>
      </w:r>
      <w:r>
        <w:rPr/>
        <w:t xml:space="preserve"> Jupiter SE868-A GPS module, Microchip RN4871</w:t>
      </w:r>
      <w:r w:rsidRPr="4C8FC267">
        <w:rPr>
          <w:rStyle w:val="Refdenotaalfinal"/>
        </w:rPr>
        <w:endnoteReference w:id="10"/>
      </w:r>
      <w:r>
        <w:rPr/>
        <w:t xml:space="preserve"> BLE module, Atmel AT24C256C 32Kx8 Bits </w:t>
      </w:r>
      <w:proofErr w:type="spellStart"/>
      <w:r>
        <w:rPr/>
        <w:t>EEProm</w:t>
      </w:r>
      <w:proofErr w:type="spellEnd"/>
      <w:r>
        <w:rPr/>
        <w:t xml:space="preserve"> and Atmel ATECC508A</w:t>
      </w:r>
      <w:r w:rsidRPr="4C8FC267">
        <w:rPr>
          <w:rStyle w:val="Refdenotaalfinal"/>
        </w:rPr>
        <w:endnoteReference w:id="11"/>
      </w:r>
      <w:r>
        <w:rPr/>
        <w:t xml:space="preserve"> crypto authentication chip. An end</w:t>
      </w:r>
      <w:r w:rsidR="009B6818">
        <w:rPr/>
        <w:t>-</w:t>
      </w:r>
      <w:r>
        <w:rPr/>
        <w:t xml:space="preserve">device will use </w:t>
      </w:r>
      <w:proofErr w:type="spellStart"/>
      <w:r>
        <w:rPr/>
        <w:t>LoRaWAN</w:t>
      </w:r>
      <w:proofErr w:type="spellEnd"/>
      <w:r>
        <w:rPr/>
        <w:t xml:space="preserve"> protocol for communication. It will send </w:t>
      </w:r>
      <w:proofErr w:type="spellStart"/>
      <w:r>
        <w:rPr/>
        <w:t>LoRa</w:t>
      </w:r>
      <w:proofErr w:type="spellEnd"/>
      <w:r>
        <w:rPr/>
        <w:t xml:space="preserve"> packets using radio channels.</w:t>
      </w:r>
    </w:p>
    <w:p w:rsidR="6078CAA3" w:rsidP="6078CAA3" w:rsidRDefault="6078CAA3" w14:paraId="26692D01" w14:textId="318D0523">
      <w:pPr>
        <w:pStyle w:val="Ttulo2"/>
      </w:pPr>
      <w:r>
        <w:lastRenderedPageBreak/>
        <w:t>Gateway</w:t>
      </w:r>
    </w:p>
    <w:p w:rsidR="6078CAA3" w:rsidP="6078CAA3" w:rsidRDefault="4C8FC267" w14:paraId="7062CCA8" w14:textId="174137FB">
      <w:r w:rsidR="66146E86">
        <w:rPr/>
        <w:t xml:space="preserve">A </w:t>
      </w:r>
      <w:proofErr w:type="spellStart"/>
      <w:r w:rsidR="66146E86">
        <w:rPr/>
        <w:t>LoRaWAN</w:t>
      </w:r>
      <w:proofErr w:type="spellEnd"/>
      <w:r w:rsidR="66146E86">
        <w:rPr/>
        <w:t xml:space="preserve"> Gateway — Gateway for short — is device that provides last-mile </w:t>
      </w:r>
      <w:proofErr w:type="spellStart"/>
      <w:r w:rsidR="66146E86">
        <w:rPr/>
        <w:t>LoRaWAN</w:t>
      </w:r>
      <w:proofErr w:type="spellEnd"/>
      <w:r w:rsidR="66146E86">
        <w:rPr/>
        <w:t xml:space="preserve"> radio access to the end-devices. It is the edge component at the end of the </w:t>
      </w:r>
      <w:proofErr w:type="spellStart"/>
      <w:r w:rsidR="66146E86">
        <w:rPr/>
        <w:t>LoRaWAN</w:t>
      </w:r>
      <w:proofErr w:type="spellEnd"/>
      <w:r w:rsidR="66146E86">
        <w:rP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rsidR="66146E86">
        <w:rPr/>
        <w:t>LoRa</w:t>
      </w:r>
      <w:proofErr w:type="spellEnd"/>
      <w:r w:rsidR="66146E86">
        <w:rPr/>
        <w:t xml:space="preserve"> transceiver module that can receive, process, and send several </w:t>
      </w:r>
      <w:proofErr w:type="spellStart"/>
      <w:r w:rsidR="66146E86">
        <w:rPr/>
        <w:t>LoRa</w:t>
      </w:r>
      <w:proofErr w:type="spellEnd"/>
      <w:r w:rsidR="66146E86">
        <w:rPr/>
        <w:t xml:space="preserve"> packets simultaneously using different spreading factors on various channels. An end-device will send </w:t>
      </w:r>
      <w:proofErr w:type="spellStart"/>
      <w:r w:rsidR="66146E86">
        <w:rPr/>
        <w:t>LoRaWAN</w:t>
      </w:r>
      <w:proofErr w:type="spellEnd"/>
      <w:r w:rsidR="66146E86">
        <w:rPr/>
        <w:t xml:space="preserve"> messages via </w:t>
      </w:r>
      <w:proofErr w:type="spellStart"/>
      <w:r w:rsidR="66146E86">
        <w:rPr/>
        <w:t>LoRa</w:t>
      </w:r>
      <w:proofErr w:type="spellEnd"/>
      <w:r w:rsidR="66146E86">
        <w:rPr/>
        <w:t xml:space="preserve"> PHY layer technology. The </w:t>
      </w:r>
      <w:proofErr w:type="spellStart"/>
      <w:r w:rsidR="66146E86">
        <w:rPr/>
        <w:t>LoRa</w:t>
      </w:r>
      <w:proofErr w:type="spellEnd"/>
      <w:r w:rsidR="66146E86">
        <w:rPr/>
        <w:t xml:space="preserve"> packets will be received by all gateways within the radio coverage area of the end-device, and will deliver their contents to the central network-server, which perform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w:t>
      </w:r>
      <w:r w:rsidR="66146E86">
        <w:rPr/>
        <w:t>number</w:t>
      </w:r>
      <w:r w:rsidR="66146E86">
        <w:rPr/>
        <w:t xml:space="preserve"> of gateways, which make </w:t>
      </w:r>
      <w:proofErr w:type="spellStart"/>
      <w:r w:rsidR="66146E86">
        <w:rPr/>
        <w:t>LoRaWAN</w:t>
      </w:r>
      <w:proofErr w:type="spellEnd"/>
      <w:r w:rsidR="66146E86">
        <w:rPr/>
        <w:t xml:space="preserve"> a desirable technology for expansive deployments.</w:t>
      </w:r>
    </w:p>
    <w:p w:rsidR="6078CAA3" w:rsidP="6078CAA3" w:rsidRDefault="6078CAA3" w14:paraId="3AB55D0F" w14:textId="79C9CB7B">
      <w:r>
        <w:rPr/>
        <w:t xml:space="preserve">The </w:t>
      </w:r>
      <w:r w:rsidRPr="00E40921" w:rsidR="00E40921">
        <w:rPr/>
        <w:t>RHF2S008P4G</w:t>
      </w:r>
      <w:r w:rsidRPr="4C8FC267">
        <w:rPr>
          <w:rStyle w:val="Refdenotaalfinal"/>
        </w:rPr>
        <w:endnoteReference w:id="12"/>
      </w:r>
      <w:r>
        <w:rPr/>
        <w:t xml:space="preserve">  will be utilized as a g</w:t>
      </w:r>
      <w:r>
        <w:rPr/>
        <w:t xml:space="preserve">ateway</w:t>
      </w:r>
      <w:r>
        <w:rPr/>
        <w:t xml:space="preserve">. It is designed and developed by </w:t>
      </w:r>
      <w:proofErr w:type="spellStart"/>
      <w:r>
        <w:rPr/>
        <w:t>RisingHF</w:t>
      </w:r>
      <w:proofErr w:type="spellEnd"/>
      <w:r>
        <w:rPr/>
        <w:t xml:space="preserve">. It </w:t>
      </w:r>
      <w:r w:rsidR="00E40921">
        <w:rPr/>
        <w:t>connects to the backhaul network through</w:t>
      </w:r>
      <w:r>
        <w:rPr/>
        <w:t xml:space="preserve"> 4G LTE connectivity</w:t>
      </w:r>
      <w:r w:rsidR="00E40921">
        <w:rPr/>
        <w:t xml:space="preserve"> or</w:t>
      </w:r>
      <w:r w:rsidR="00E40921">
        <w:rPr/>
        <w:t xml:space="preserve"> via</w:t>
      </w:r>
      <w:r>
        <w:rPr/>
        <w:t xml:space="preserve"> Ethernet</w:t>
      </w:r>
      <w:r w:rsidR="00E40921">
        <w:rPr/>
        <w:t>. Additionally</w:t>
      </w:r>
      <w:r w:rsidR="00E40921">
        <w:rPr/>
        <w:t>, it includes a set of sensors and features like</w:t>
      </w:r>
      <w:r>
        <w:rPr/>
        <w:t xml:space="preserve"> GPS</w:t>
      </w:r>
      <w:r>
        <w:rPr/>
        <w:t xml:space="preserve">, temperature monitor, RTC and power management unit. </w:t>
      </w:r>
      <w:r w:rsidR="00230A15">
        <w:rPr/>
        <w:t xml:space="preserve">This particular model is rugged and protected against outdoor conditions with a dust and water certification rating IP66. </w:t>
      </w:r>
      <w:r>
        <w:rPr/>
        <w:t xml:space="preserve">It also houses fully integrated </w:t>
      </w:r>
      <w:r w:rsidR="00230A15">
        <w:rPr/>
        <w:t>a</w:t>
      </w:r>
      <w:r>
        <w:rPr/>
        <w:t xml:space="preserve"> SX1301</w:t>
      </w:r>
      <w:r w:rsidRPr="4C8FC267">
        <w:rPr>
          <w:rStyle w:val="Refdenotaalfinal"/>
        </w:rPr>
        <w:endnoteReference w:id="13"/>
      </w:r>
      <w:r>
        <w:rPr/>
        <w:t xml:space="preserve"> </w:t>
      </w:r>
      <w:proofErr w:type="spellStart"/>
      <w:r>
        <w:rPr/>
        <w:t>LoRa</w:t>
      </w:r>
      <w:proofErr w:type="spellEnd"/>
      <w:r>
        <w:rPr/>
        <w:t xml:space="preserve"> </w:t>
      </w:r>
      <w:r w:rsidR="00230A15">
        <w:rPr/>
        <w:t>high performance transceiver and is installed with a high performance</w:t>
      </w:r>
      <w:r w:rsidR="00230A15">
        <w:rPr/>
        <w:t xml:space="preserve"> 868 MHz</w:t>
      </w:r>
      <w:r w:rsidR="00230A15">
        <w:rPr/>
        <w:t xml:space="preserve"> fiberglass</w:t>
      </w:r>
      <w:r>
        <w:rPr/>
        <w:t xml:space="preserve"> antenna with peak gain of</w:t>
      </w:r>
      <w:r w:rsidR="00230A15">
        <w:rPr/>
        <w:t xml:space="preserve"> 3.0</w:t>
      </w:r>
      <w:r>
        <w:rPr/>
        <w:t xml:space="preserve">dBi, and </w:t>
      </w:r>
      <w:r w:rsidR="00230A15">
        <w:rPr/>
        <w:t>runs an optimized Linux kernel over</w:t>
      </w:r>
      <w:r>
        <w:rPr/>
        <w:t xml:space="preserve"> ARM Cortex A53 microprocessor. The </w:t>
      </w:r>
      <w:r>
        <w:rPr/>
        <w:t xml:space="preserve">gateway</w:t>
      </w:r>
      <w:r>
        <w:rPr/>
        <w:t xml:space="preserve">s and end</w:t>
      </w:r>
      <w:r w:rsidR="009B6818">
        <w:rPr/>
        <w:t>-</w:t>
      </w:r>
      <w:r>
        <w:rPr/>
        <w:t>devices both will operate in the EU868 ISM band.</w:t>
      </w:r>
    </w:p>
    <w:p w:rsidR="6078CAA3" w:rsidP="4C8FC267" w:rsidRDefault="4C8FC267" w14:paraId="45F2261C" w14:textId="52522906">
      <w:pPr>
        <w:pStyle w:val="Ttulo2"/>
      </w:pPr>
      <w:r>
        <w:t>Network Server</w:t>
      </w:r>
    </w:p>
    <w:p w:rsidR="000F4D30" w:rsidP="6078CAA3" w:rsidRDefault="4C8FC267" w14:paraId="48A5F3FE" w14:textId="1C744A4A">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09632FD4">
      <w:pPr>
        <w:rPr>
          <w:color w:val="auto"/>
        </w:rPr>
      </w:pPr>
      <w:r>
        <w:rPr/>
        <w:t xml:space="preserve">The </w:t>
      </w:r>
      <w:proofErr w:type="spellStart"/>
      <w:r>
        <w:rPr/>
        <w:t>IoTrust</w:t>
      </w:r>
      <w:proofErr w:type="spellEnd"/>
      <w:r>
        <w:rPr/>
        <w:t xml:space="preserve"> project will employ the ChirpStack.io open source </w:t>
      </w:r>
      <w:proofErr w:type="spellStart"/>
      <w:r>
        <w:rPr/>
        <w:t>LoRaWAN</w:t>
      </w:r>
      <w:proofErr w:type="spellEnd"/>
      <w:r>
        <w:rPr/>
        <w:t xml:space="preserve"> Network Server Stack</w:t>
      </w:r>
      <w:ins w:author="Jesús Sánchez-Gómez" w:date="2020-12-29T19:48:00Z" w:id="114">
        <w:r w:rsidR="00224F0A">
          <w:rPr>
            <w:rStyle w:val="Refdenotaalfinal"/>
          </w:rPr>
          <w:endnoteReference w:id="14"/>
        </w:r>
      </w:ins>
      <w:r w:rsidR="00224F0A">
        <w:rPr/>
        <w:t xml:space="preserve">. </w:t>
      </w:r>
      <w:r w:rsidRPr="4C8FC267">
        <w:rPr>
          <w:color w:val="auto"/>
        </w:rPr>
        <w:t xml:space="preserve">This project is 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the IoT application scenario. These include, a web interface dashboard, standardised protocol event-based broker using MQTT</w:t>
      </w:r>
      <w:ins w:author="Jesús Sánchez-Gómez" w:date="2020-12-29T19:54:00Z" w:id="118">
        <w:r w:rsidR="007B3FD5">
          <w:rPr>
            <w:rStyle w:val="Refdenotaalfinal"/>
            <w:color w:val="auto"/>
          </w:rPr>
          <w:endnoteReference w:id="15"/>
        </w:r>
      </w:ins>
      <w:r w:rsidRPr="4C8FC267">
        <w:rPr>
          <w:color w:val="FF0000"/>
        </w:rPr>
        <w:t xml:space="preserve"> </w:t>
      </w:r>
      <w:r w:rsidRPr="4C8FC267">
        <w:rPr>
          <w:color w:val="auto"/>
        </w:rPr>
        <w:t>and a REST</w:t>
      </w:r>
      <w:r w:rsidRPr="4C8FC267" w:rsidR="00955C03">
        <w:rPr>
          <w:rStyle w:val="Refdenotaalfinal"/>
          <w:color w:val="auto"/>
        </w:rPr>
        <w:endnoteReference w:id="16"/>
      </w:r>
      <w:r w:rsidRPr="4C8FC267">
        <w:rPr>
          <w:color w:val="auto"/>
        </w:rPr>
        <w:t xml:space="preserve"> API over secure HTTPS connections. Therefore, its integration with other IoT libraries and networking components is relatively easy.</w:t>
      </w:r>
    </w:p>
    <w:p w:rsidR="00600463" w:rsidP="6078CAA3" w:rsidRDefault="4C8FC267" w14:paraId="11646B00" w14:textId="4971B282">
      <w:r>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This </w:t>
      </w:r>
      <w:proofErr w:type="gramStart"/>
      <w:r>
        <w:t>is,</w:t>
      </w:r>
      <w:proofErr w:type="gramEnd"/>
      <w:r>
        <w:t xml:space="preserve"> applications and users are presented with a high-level abstraction end-point to send and receive messages to and from end-devices. These </w:t>
      </w:r>
      <w:proofErr w:type="gramStart"/>
      <w:r>
        <w:t>end-points</w:t>
      </w:r>
      <w:proofErr w:type="gramEnd"/>
      <w:r>
        <w:t xml:space="preserve"> may be a REST API,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rsidR="6078CAA3" w:rsidP="6078CAA3" w:rsidRDefault="6078CAA3" w14:paraId="060B4EBF" w14:textId="1BD2A6A0">
      <w:pPr>
        <w:pStyle w:val="Ttulo2"/>
      </w:pPr>
      <w:r>
        <w:t>IoT Controller</w:t>
      </w:r>
    </w:p>
    <w:p w:rsidR="00B54505" w:rsidP="6078CAA3" w:rsidRDefault="4C8FC267" w14:paraId="1EE1C343" w14:textId="5C65FB75">
      <w:r>
        <w:rPr/>
        <w:t xml:space="preserve">The IoT Controller plays the role of authenticator in the Authentication, Authorisation, and Accounting (AAA) </w:t>
      </w:r>
      <w:r w:rsidRPr="007B3FD5">
        <w:rPr>
          <w:color w:val="auto"/>
        </w:rPr>
        <w:t>architecture</w:t>
      </w:r>
      <w:ins w:author="Jesús Sánchez-Gómez" w:date="2020-12-29T20:01:00Z" w:id="124">
        <w:r w:rsidR="007B3FD5">
          <w:rPr>
            <w:rStyle w:val="Refdenotaalfinal"/>
            <w:color w:val="auto"/>
          </w:rPr>
          <w:endnoteReference w:id="17"/>
        </w:r>
      </w:ins>
      <w:r w:rsidRPr="007B3FD5" w:rsidR="007B3FD5">
        <w:rPr>
          <w:color w:val="auto"/>
        </w:rPr>
        <w:t xml:space="preserve">. </w:t>
      </w:r>
      <w:r w:rsidRPr="007B3FD5">
        <w:rPr>
          <w:color w:val="auto"/>
        </w:rPr>
        <w:t>End</w:t>
      </w:r>
      <w:r>
        <w:rPr/>
        <w:t xml:space="preserve">-devices perform a bootstrapping process when they are deployed for the first time. This process includes an authentication and key agreement stage. </w:t>
      </w:r>
      <w:r w:rsidR="006027DC">
        <w:rPr/>
        <w:t xml:space="preserve">Once the device successfully authenticates itself, session keys are shared with the device </w:t>
      </w:r>
      <w:r w:rsidR="006027DC">
        <w:rPr/>
        <w:t>in order to securely perform the regular operation tasks.</w:t>
      </w:r>
    </w:p>
    <w:p w:rsidR="008B57B9" w:rsidP="6078CAA3" w:rsidRDefault="4C8FC267" w14:paraId="3B116257" w14:textId="1B91DC74">
      <w:r>
        <w:rP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138">
        <w:r w:rsidR="007561EE">
          <w:rPr>
            <w:rStyle w:val="Refdenotaalfinal"/>
          </w:rPr>
          <w:endnoteReference w:id="18"/>
        </w:r>
      </w:ins>
      <w:r>
        <w:rPr/>
        <w:t xml:space="preserve"> or Diameter</w:t>
      </w:r>
      <w:ins w:author="Jesús Sánchez-Gómez" w:date="2020-12-29T20:07:00Z" w:id="140">
        <w:r w:rsidR="007561EE">
          <w:rPr>
            <w:rStyle w:val="Refdenotaalfinal"/>
          </w:rPr>
          <w:endnoteReference w:id="19"/>
        </w:r>
      </w:ins>
      <w:r w:rsidR="007561EE">
        <w:rPr/>
        <w:t xml:space="preserve"> </w:t>
      </w:r>
      <w:r>
        <w:rPr/>
        <w:t>to carry Extended Authentication Protocol (EAP)</w:t>
      </w:r>
      <w:ins w:author="Jesús Sánchez-Gómez" w:date="2020-12-29T20:09:00Z" w:id="145">
        <w:r w:rsidR="00175E7D">
          <w:rPr>
            <w:rStyle w:val="Refdenotaalfinal"/>
          </w:rPr>
          <w:endnoteReference w:id="20"/>
        </w:r>
      </w:ins>
      <w:r w:rsidRPr="4C8FC267">
        <w:rPr>
          <w:color w:val="FF0000"/>
        </w:rPr>
        <w:t xml:space="preserve"> </w:t>
      </w:r>
      <w:r>
        <w:rP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rPr/>
        <w:t>LoRaWAN</w:t>
      </w:r>
      <w:proofErr w:type="spellEnd"/>
      <w:r>
        <w:rPr/>
        <w:t>.</w:t>
      </w:r>
    </w:p>
    <w:p w:rsidR="003D7B50" w:rsidP="6078CAA3" w:rsidRDefault="4C8FC267" w14:paraId="5880BAFE" w14:textId="51FC2F55">
      <w:r>
        <w:rPr/>
        <w:t xml:space="preserve">Therefore, a lightweight Low-Overhead EAP over </w:t>
      </w:r>
      <w:proofErr w:type="spellStart"/>
      <w:r>
        <w:rPr/>
        <w:t>CoAP</w:t>
      </w:r>
      <w:proofErr w:type="spellEnd"/>
      <w:r>
        <w:rPr/>
        <w:t xml:space="preserve"> (LO-</w:t>
      </w:r>
      <w:proofErr w:type="spellStart"/>
      <w:r>
        <w:rPr/>
        <w:t>CoAP</w:t>
      </w:r>
      <w:proofErr w:type="spellEnd"/>
      <w:r>
        <w:rPr/>
        <w:t>-EAP)</w:t>
      </w:r>
      <w:ins w:author="Jesús Sánchez-Gómez" w:date="2020-12-29T20:09:00Z" w:id="150">
        <w:r w:rsidR="00175E7D">
          <w:rPr>
            <w:rStyle w:val="Refdenotaalfinal"/>
          </w:rPr>
          <w:endnoteReference w:id="21"/>
        </w:r>
      </w:ins>
      <w:r w:rsidRPr="4C8FC267">
        <w:rPr>
          <w:color w:val="FF0000"/>
        </w:rPr>
        <w:t xml:space="preserve"> </w:t>
      </w:r>
      <w:r>
        <w:rPr/>
        <w:t>protocol is chosen instead. LO-</w:t>
      </w:r>
      <w:proofErr w:type="spellStart"/>
      <w:r>
        <w:rPr/>
        <w:t>CoAP</w:t>
      </w:r>
      <w:proofErr w:type="spellEnd"/>
      <w:r>
        <w:rPr/>
        <w:t>-EAP employs the novel Constrained Application Protocol (</w:t>
      </w:r>
      <w:r>
        <w:rPr/>
        <w:t>CoAP</w:t>
      </w:r>
      <w:r>
        <w:rPr/>
        <w:t>)</w:t>
      </w:r>
      <w:ins w:author="Jesús Sánchez-Gómez" w:date="2020-12-29T20:12:00Z" w:id="155">
        <w:r w:rsidR="008B2958">
          <w:rPr>
            <w:rStyle w:val="Refdenotaalfinal"/>
          </w:rPr>
          <w:endnoteReference w:id="22"/>
        </w:r>
      </w:ins>
      <w:r w:rsidRPr="4C8FC267">
        <w:rPr>
          <w:color w:val="FF0000"/>
        </w:rPr>
        <w:t xml:space="preserve"> </w:t>
      </w:r>
      <w:r>
        <w:rPr/>
        <w:t>and a set of efficient primitives to significatively reduce the header overhead of transmitting authentication EAP messages over a constrained network. The IoT Controller includes the LO-</w:t>
      </w:r>
      <w:proofErr w:type="spellStart"/>
      <w:r>
        <w:rPr/>
        <w:t>CoAP</w:t>
      </w:r>
      <w:proofErr w:type="spellEnd"/>
      <w:r>
        <w:rPr/>
        <w:t>-EAP protocol logic that parses the upstream messages transmitted by the end-</w:t>
      </w:r>
      <w:r>
        <w:rPr/>
        <w:t>devices, and</w:t>
      </w:r>
      <w:r>
        <w:rPr/>
        <w:t xml:space="preserve">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Pr/>
        <w:t>CoAP</w:t>
      </w:r>
      <w:proofErr w:type="spellEnd"/>
      <w:r>
        <w:rPr/>
        <w:t>-EAP packet and forwards it to the end-device.</w:t>
      </w:r>
    </w:p>
    <w:p w:rsidR="003047A9" w:rsidP="6078CAA3" w:rsidRDefault="003047A9" w14:paraId="1791AABF" w14:textId="77777777"/>
    <w:p w:rsidRPr="00656D7A" w:rsidR="00656D7A" w:rsidP="4C8FC267" w:rsidRDefault="4C8FC267" w14:paraId="6589C2DA" w14:textId="60F13D8A">
      <w:pPr>
        <w:pStyle w:val="Ttulo2"/>
      </w:pPr>
      <w:r>
        <w:t>Authentication Server</w:t>
      </w:r>
    </w:p>
    <w:p w:rsidR="006027DC" w:rsidP="006027DC" w:rsidRDefault="006027DC" w14:paraId="1363B93C" w14:textId="77777777" w14:noSpellErr="1">
      <w:pPr/>
    </w:p>
    <w:p w:rsidR="006027DC" w:rsidP="006027DC" w:rsidRDefault="006027DC" w14:paraId="35A04331" w14:textId="57618A4B">
      <w:pPr/>
      <w:r>
        <w:rPr/>
        <w:t xml:space="preserve">The AAA architecture has been proposed </w:t>
      </w:r>
      <w:r>
        <w:rPr/>
        <w:t>by standardi</w:t>
      </w:r>
      <w:r>
        <w:rPr/>
        <w:t>sation organisation</w:t>
      </w:r>
      <w:r w:rsidR="00162C2A">
        <w:rPr/>
        <w:t>, such as</w:t>
      </w:r>
      <w:r>
        <w:rPr/>
        <w:t xml:space="preserve"> IETF</w:t>
      </w:r>
      <w:r w:rsidR="00162C2A">
        <w:rPr/>
        <w:t>,</w:t>
      </w:r>
      <w:r>
        <w:rPr/>
        <w:t xml:space="preserve"> to provide</w:t>
      </w:r>
      <w:r>
        <w:rPr/>
        <w:t xml:space="preserve"> a scalable </w:t>
      </w:r>
      <w:r>
        <w:rPr/>
        <w:t xml:space="preserve">solution to security management tasks in </w:t>
      </w:r>
      <w:r>
        <w:rPr/>
        <w:t xml:space="preserve">heterogeneous </w:t>
      </w:r>
      <w:r>
        <w:rPr/>
        <w:t xml:space="preserve">IoT ecosystems, </w:t>
      </w:r>
      <w:r>
        <w:rPr/>
        <w:t>especially</w:t>
      </w:r>
      <w:r>
        <w:rPr/>
        <w:t xml:space="preserve"> those employing long-</w:t>
      </w:r>
      <w:r>
        <w:rPr/>
        <w:t>range wide-area networks</w:t>
      </w:r>
      <w:ins w:author="Jesús Sánchez-Gómez" w:date="2020-12-29T21:38:00Z" w:id="176">
        <w:r>
          <w:rPr>
            <w:rStyle w:val="Refdenotaalfinal"/>
          </w:rPr>
          <w:endnoteReference w:id="23"/>
        </w:r>
      </w:ins>
      <w:r>
        <w:rPr/>
        <w:t>.</w:t>
      </w:r>
      <w:r>
        <w:rPr/>
        <w:t xml:space="preserve"> </w:t>
      </w:r>
      <w:r>
        <w:rPr/>
        <w:t>At the ce</w:t>
      </w:r>
      <w:r>
        <w:rPr/>
        <w:t>ntre of the AAA architecture, lays the Authentication Server. It</w:t>
      </w:r>
      <w:r>
        <w:rPr/>
        <w:t xml:space="preserve"> provides a</w:t>
      </w:r>
      <w:r>
        <w:rPr/>
        <w:t>n administrative</w:t>
      </w:r>
      <w:r>
        <w:rPr/>
        <w:t xml:space="preserve"> </w:t>
      </w:r>
      <w:r>
        <w:rPr/>
        <w:t>end-</w:t>
      </w:r>
      <w:r>
        <w:rPr/>
        <w:t>point</w:t>
      </w:r>
      <w:r>
        <w:rPr/>
        <w:t xml:space="preserve"> </w:t>
      </w:r>
      <w:r>
        <w:rPr/>
        <w:t xml:space="preserve">that abstracts the </w:t>
      </w:r>
      <w:r>
        <w:rPr/>
        <w:t xml:space="preserve">technology </w:t>
      </w:r>
      <w:r>
        <w:rPr/>
        <w:t xml:space="preserve">specific </w:t>
      </w:r>
      <w:r>
        <w:rPr/>
        <w:t>details</w:t>
      </w:r>
      <w:r>
        <w:rPr/>
        <w:t xml:space="preserve"> of </w:t>
      </w:r>
      <w:r>
        <w:rPr/>
        <w:t xml:space="preserve">deployed </w:t>
      </w:r>
      <w:r>
        <w:rPr/>
        <w:t>end-devices</w:t>
      </w:r>
      <w:r>
        <w:rPr/>
        <w:t>.</w:t>
      </w:r>
      <w:r>
        <w:rPr/>
        <w:t xml:space="preserve"> Thus, </w:t>
      </w:r>
      <w:r>
        <w:rPr/>
        <w:t xml:space="preserve">the </w:t>
      </w:r>
      <w:r w:rsidR="00162C2A">
        <w:rPr/>
        <w:t>administrator simply manages identity and key materials, and relays on the technology to employ the security mechanisms that fit each specific ca</w:t>
      </w:r>
      <w:r w:rsidR="00162C2A">
        <w:rPr/>
        <w:t>se</w:t>
      </w:r>
      <w:r w:rsidR="00162C2A">
        <w:rPr/>
        <w:t xml:space="preserve">. </w:t>
      </w:r>
      <w:r w:rsidR="00162C2A">
        <w:rPr/>
        <w:t>In order to do so, t</w:t>
      </w:r>
      <w:r w:rsidR="00162C2A">
        <w:rPr/>
        <w:t xml:space="preserve">he </w:t>
      </w:r>
      <w:r>
        <w:rPr/>
        <w:t xml:space="preserve">authentication server employs EAP, a flexible solution that supports several </w:t>
      </w:r>
      <w:r w:rsidR="00162C2A">
        <w:rPr/>
        <w:t>methods</w:t>
      </w:r>
      <w:r>
        <w:rPr/>
        <w:t xml:space="preserve">, </w:t>
      </w:r>
      <w:r w:rsidR="00162C2A">
        <w:rPr/>
        <w:t>with various degrees of performance requirements for each end</w:t>
      </w:r>
      <w:r w:rsidR="00162C2A">
        <w:rPr/>
        <w:t>-device</w:t>
      </w:r>
      <w:r>
        <w:rPr/>
        <w:t xml:space="preserve">. </w:t>
      </w:r>
      <w:r>
        <w:rPr/>
        <w:t>On the one hand</w:t>
      </w:r>
      <w:r>
        <w:rPr/>
        <w:t xml:space="preserve">, more constrained devices may employ </w:t>
      </w:r>
      <w:r w:rsidR="00162C2A">
        <w:rPr/>
        <w:t>lightweight cryptographic</w:t>
      </w:r>
      <w:r>
        <w:rPr/>
        <w:t xml:space="preserve"> primitives</w:t>
      </w:r>
      <w:r w:rsidR="00162C2A">
        <w:rPr/>
        <w:t>,</w:t>
      </w:r>
      <w:r>
        <w:rPr/>
        <w:t xml:space="preserve"> such as AES with the EAP-PSK method. On </w:t>
      </w:r>
      <w:r>
        <w:rPr/>
        <w:t xml:space="preserve">the other hand, other non-constrained end-devices may rely on </w:t>
      </w:r>
      <w:r w:rsidR="00162C2A">
        <w:rPr/>
        <w:t xml:space="preserve">more </w:t>
      </w:r>
      <w:r>
        <w:rPr/>
        <w:t xml:space="preserve">computationally </w:t>
      </w:r>
      <w:r w:rsidR="00162C2A">
        <w:rPr/>
        <w:t xml:space="preserve">demanding methods such as </w:t>
      </w:r>
      <w:r w:rsidR="00162C2A">
        <w:rPr/>
        <w:t xml:space="preserve">those based on </w:t>
      </w:r>
      <w:r w:rsidR="00162C2A">
        <w:rPr/>
        <w:t xml:space="preserve">public key infrastructure, or </w:t>
      </w:r>
      <w:r w:rsidR="00162C2A">
        <w:rPr/>
        <w:t>certificates</w:t>
      </w:r>
      <w:r w:rsidR="00162C2A">
        <w:rPr/>
        <w:t>.</w:t>
      </w:r>
    </w:p>
    <w:p w:rsidR="00A27D94" w:rsidP="66146E86" w:rsidRDefault="00A27D94" w14:paraId="1167086C" w14:textId="3F049326">
      <w:pPr>
        <w:spacing w:before="100" w:beforeAutospacing="1" w:after="100" w:afterAutospacing="1"/>
        <w:rPr>
          <w:rFonts w:ascii="Times New Roman" w:hAnsi="Times New Roman" w:eastAsia="Times New Roman" w:cs="Times New Roman"/>
          <w:color w:val="FF0000"/>
          <w:sz w:val="24"/>
          <w:szCs w:val="24"/>
          <w:lang w:val="en-US" w:eastAsia="es-ES"/>
        </w:rPr>
      </w:pPr>
      <w:r w:rsidR="66146E86">
        <w:rP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 securing the following communications with the obtained keys.</w:t>
      </w:r>
    </w:p>
    <w:p w:rsidR="6078CAA3" w:rsidP="66146E86" w:rsidRDefault="6078CAA3" w14:paraId="33079661" w14:textId="63ADC0CB">
      <w:pPr>
        <w:pStyle w:val="Normal"/>
      </w:pPr>
      <w:r w:rsidR="66146E86">
        <w:rPr/>
        <w:t>The integration of different kinds of end-devices and networks leverages on the communication technologies of each deployment and the homogeneous security administration interface provided by the authentication server. Additionally, this architecture framework facilitates mobility scenarios with roaming and network-infrastructure assisted hand-over, as well as multi-radio access technologies (Multi-RAT) embedded within devices. Multi-RAT features improve overall network and power efficiency by offloading bandwidth demanding tasks, such as configuration updates or firmware-over-the-air (FOTA), on higher data-rate technologies, such as WiFi or 4G LTE, while relegating the device to a low-power technology, such as LoRaWAN, for small sporadic transmissions.</w:t>
      </w:r>
    </w:p>
    <w:p w:rsidR="4C8FC267" w:rsidP="4C8FC267" w:rsidRDefault="4C8FC267" w14:paraId="0E9DA513" w14:textId="152552B2">
      <w:pPr>
        <w:pStyle w:val="Ttulo2"/>
        <w:rPr/>
      </w:pPr>
      <w:r w:rsidR="66146E86">
        <w:rPr/>
        <w:t>IoT Agent</w:t>
      </w:r>
    </w:p>
    <w:p w:rsidR="4C8FC267" w:rsidP="4C8FC267" w:rsidRDefault="4C8FC267" w14:paraId="60F74996" w14:textId="55A3AAC0">
      <w:r w:rsidR="66146E86">
        <w:rP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rsidR="66146E86">
        <w:rPr/>
        <w:t>LoRaWAN</w:t>
      </w:r>
      <w:proofErr w:type="spellEnd"/>
      <w:r w:rsidR="66146E86">
        <w:rP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C8FC267" w:rsidP="4C8FC267" w:rsidRDefault="4C8FC267" w14:paraId="15011B4B" w14:textId="7ED5E4B4">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an agent between the network server and the </w:t>
      </w:r>
      <w:proofErr w:type="spellStart"/>
      <w:r>
        <w:t>asvin</w:t>
      </w:r>
      <w:proofErr w:type="spellEnd"/>
      <w:r>
        <w:t xml:space="preserve"> platform.  </w:t>
      </w:r>
    </w:p>
    <w:p w:rsidR="320060E5" w:rsidP="320060E5" w:rsidRDefault="320060E5" w14:paraId="2BC11C9C" w14:textId="54942FFF">
      <w:pPr>
        <w:pStyle w:val="Ttulo2"/>
        <w:rPr/>
      </w:pPr>
      <w:proofErr w:type="spellStart"/>
      <w:r w:rsidR="320060E5">
        <w:rPr/>
        <w:t>asvin</w:t>
      </w:r>
      <w:proofErr w:type="spellEnd"/>
      <w:r w:rsidR="320060E5">
        <w:rPr/>
        <w:t xml:space="preserve"> Platform</w:t>
      </w:r>
    </w:p>
    <w:p w:rsidR="4C8FC267" w:rsidP="4C8FC267" w:rsidRDefault="4C8FC267" w14:paraId="3E297E22" w14:textId="3FEA85C9">
      <w:r>
        <w:rPr/>
        <w:t xml:space="preserve">It is a Platform as a Service (PaaS) to facilitate over the air security patches for IoT devices using novel decentralized and distributed technologies. The </w:t>
      </w:r>
      <w:proofErr w:type="spellStart"/>
      <w:r>
        <w:rPr/>
        <w:t>asvin</w:t>
      </w:r>
      <w:proofErr w:type="spellEnd"/>
      <w:r>
        <w:rPr/>
        <w:t xml:space="preserve"> Platform</w:t>
      </w:r>
      <w:r w:rsidRPr="4C8FC267">
        <w:rPr>
          <w:rStyle w:val="Refdenotaalfinal"/>
        </w:rPr>
        <w:endnoteReference w:id="24"/>
      </w:r>
      <w:r>
        <w:rPr/>
        <w:t xml:space="preserve"> provides a complete solution for device, security patches and rollout management. It is comprised of 4 components as depicted the figure (</w:t>
      </w:r>
      <w:r w:rsidRPr="4C8FC267">
        <w:rPr>
          <w:color w:val="FF0000"/>
        </w:rPr>
        <w:t>figure ref</w:t>
      </w:r>
      <w:r>
        <w:rPr/>
        <w:t>).</w:t>
      </w:r>
    </w:p>
    <w:p w:rsidR="66146E86" w:rsidP="66146E86" w:rsidRDefault="66146E86" w14:paraId="67FCFC53" w14:textId="036D0227">
      <w:pPr>
        <w:pStyle w:val="Normal"/>
      </w:pPr>
      <w:r>
        <w:drawing>
          <wp:inline wp14:editId="5162E3CB" wp14:anchorId="45EF43CD">
            <wp:extent cx="5603411" cy="2731663"/>
            <wp:effectExtent l="0" t="0" r="0" b="0"/>
            <wp:docPr id="763747553" name="" title=""/>
            <wp:cNvGraphicFramePr>
              <a:graphicFrameLocks noChangeAspect="1"/>
            </wp:cNvGraphicFramePr>
            <a:graphic>
              <a:graphicData uri="http://schemas.openxmlformats.org/drawingml/2006/picture">
                <pic:pic>
                  <pic:nvPicPr>
                    <pic:cNvPr id="0" name=""/>
                    <pic:cNvPicPr/>
                  </pic:nvPicPr>
                  <pic:blipFill>
                    <a:blip r:embed="Re6863f61f79f4c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4C8FC267" w:rsidP="4C8FC267" w:rsidRDefault="4C8FC267" w14:paraId="6A643CFF" w14:noSpellErr="1" w14:textId="192AEA61">
      <w:pPr>
        <w:jc w:val="center"/>
      </w:pPr>
    </w:p>
    <w:p w:rsidR="4C8FC267" w:rsidP="4C8FC267" w:rsidRDefault="4C8FC267" w14:paraId="71C8A26D" w14:textId="31347E9E">
      <w:r>
        <w:rPr/>
        <w:t xml:space="preserve">Each component of the </w:t>
      </w:r>
      <w:proofErr w:type="spellStart"/>
      <w:r>
        <w:rPr/>
        <w:t>asvin</w:t>
      </w:r>
      <w:proofErr w:type="spellEnd"/>
      <w:r>
        <w:rPr/>
        <w:t xml:space="preserve"> platform is tailored to perform specific set of tasks efficiently. </w:t>
      </w:r>
    </w:p>
    <w:p w:rsidR="4C8FC267" w:rsidP="320060E5" w:rsidRDefault="4C8FC267" w14:paraId="7670150E" w14:textId="586EB5E6">
      <w:pPr>
        <w:pStyle w:val="Ttulo3"/>
        <w:numPr>
          <w:numId w:val="0"/>
        </w:numPr>
        <w:ind w:left="0"/>
      </w:pPr>
      <w:r>
        <w:rPr/>
        <w:t xml:space="preserve">IPFS</w:t>
      </w:r>
    </w:p>
    <w:p w:rsidR="4C8FC267" w:rsidP="320060E5" w:rsidRDefault="4C8FC267" w14:paraId="29892C17" w14:textId="47BDA54D">
      <w:pPr>
        <w:pStyle w:val="Normal"/>
        <w:jc w:val="both"/>
      </w:pPr>
      <w:r w:rsidR="320060E5">
        <w:rPr/>
        <w:t xml:space="preserve"> Interplanetary File System (</w:t>
      </w:r>
      <w:r w:rsidR="320060E5">
        <w:rPr/>
        <w:t>IPFS</w:t>
      </w:r>
      <w:r w:rsidR="320060E5">
        <w:rPr/>
        <w:t>)</w:t>
      </w:r>
      <w:r w:rsidRPr="320060E5">
        <w:rPr>
          <w:rStyle w:val="Refdenotaalfinal"/>
        </w:rPr>
        <w:endnoteReference w:id="12077"/>
      </w:r>
      <w:r w:rsidR="320060E5">
        <w:rPr/>
        <w:t xml:space="preserve"> protocol is utilized to store firmware and patches. The </w:t>
      </w:r>
      <w:r w:rsidR="320060E5">
        <w:rPr/>
        <w:t>IPFS</w:t>
      </w:r>
      <w:r w:rsidR="320060E5">
        <w:rPr/>
        <w:t xml:space="preserve"> is a content-addressable peer to peer method for storing and sharing hypermedia in a distributed file system. It solves problem of duplicate files across the network as it exists in the HTTPs </w:t>
      </w:r>
      <w:r w:rsidR="320060E5">
        <w:rPr/>
        <w:t>and remove redundancy. When</w:t>
      </w:r>
      <w:r w:rsidR="320060E5">
        <w:rPr/>
        <w:t xml:space="preserve"> a firmware file is stored on the network a hash is generated based on content of the firmware and stored on blockchain network. This unique hash is called Content Identifier (CID). Subsequently, the CID is utilized to pull the firmware from </w:t>
      </w:r>
      <w:r w:rsidR="320060E5">
        <w:rPr/>
        <w:t>IPFS</w:t>
      </w:r>
      <w:r w:rsidR="320060E5">
        <w:rPr/>
        <w:t xml:space="preserve"> server.</w:t>
      </w:r>
    </w:p>
    <w:p w:rsidR="4C8FC267" w:rsidP="320060E5" w:rsidRDefault="4C8FC267" w14:paraId="7FD77482" w14:textId="0AA0364D">
      <w:pPr>
        <w:pStyle w:val="Ttulo3"/>
        <w:numPr>
          <w:numId w:val="0"/>
        </w:numPr>
        <w:ind w:left="0"/>
      </w:pPr>
      <w:r w:rsidR="320060E5">
        <w:rPr/>
        <w:t>Blockchain</w:t>
      </w:r>
    </w:p>
    <w:p w:rsidR="4C8FC267" w:rsidP="320060E5" w:rsidRDefault="4C8FC267" w14:paraId="10138230" w14:textId="7EAE8A51">
      <w:pPr>
        <w:pStyle w:val="Normal"/>
      </w:pPr>
      <w:r w:rsidR="320060E5">
        <w:rPr/>
        <w:t xml:space="preserve">Asvin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Besu. Both are private permissioned blockchain network technologies designed and developed under the Linux </w:t>
      </w:r>
      <w:r w:rsidR="320060E5">
        <w:rPr/>
        <w:t>Foundataion</w:t>
      </w:r>
      <w:r w:rsidR="320060E5">
        <w:rPr/>
        <w:t>.</w:t>
      </w:r>
    </w:p>
    <w:p w:rsidR="4C8FC267" w:rsidP="320060E5" w:rsidRDefault="4C8FC267" w14:paraId="2386D00C" w14:textId="72C5712C">
      <w:pPr>
        <w:pStyle w:val="Ttulo3"/>
        <w:numPr>
          <w:numId w:val="0"/>
        </w:numPr>
        <w:ind w:left="0"/>
      </w:pPr>
      <w:r w:rsidR="320060E5">
        <w:rPr/>
        <w:t>Customer Platform</w:t>
      </w:r>
    </w:p>
    <w:p w:rsidR="4C8FC267" w:rsidP="320060E5" w:rsidRDefault="4C8FC267" w14:paraId="4D716E04" w14:textId="562FE1EF">
      <w:pPr>
        <w:pStyle w:val="Normal"/>
      </w:pPr>
      <w:r w:rsidR="320060E5">
        <w:rP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rsidR="320060E5">
        <w:rPr/>
        <w:t>asvin</w:t>
      </w:r>
      <w:proofErr w:type="spellEnd"/>
      <w:r w:rsidR="320060E5">
        <w:rPr/>
        <w:t xml:space="preserve"> platform.</w:t>
      </w:r>
    </w:p>
    <w:p w:rsidR="4C8FC267" w:rsidP="320060E5" w:rsidRDefault="4C8FC267" w14:paraId="3D9250B8" w14:textId="4D95446B">
      <w:pPr>
        <w:pStyle w:val="Ttulo3"/>
        <w:numPr>
          <w:numId w:val="0"/>
        </w:numPr>
        <w:ind w:left="0"/>
      </w:pPr>
      <w:r w:rsidR="320060E5">
        <w:rPr/>
        <w:t>Version Controller</w:t>
      </w:r>
    </w:p>
    <w:p w:rsidR="4C8FC267" w:rsidP="4C8FC267" w:rsidRDefault="4C8FC267" w14:textId="31BBB673" w14:paraId="610DA436">
      <w:r>
        <w:rPr/>
        <w:t xml:space="preserve">The Version Controller exposes backend REST APIs for device and rollout management. The Customer Platform and Version Controller work hand in hand. It handles the device registration and rollout success requests from the IoT agent. </w:t>
      </w:r>
    </w:p>
    <w:p w:rsidR="4C8FC267" w:rsidP="4C8FC267" w:rsidRDefault="4C8FC267" w14:paraId="65E8B256" w14:textId="4FA9216B">
      <w:r w:rsidR="66146E86">
        <w:rPr/>
        <w:t xml:space="preserve">The </w:t>
      </w:r>
      <w:proofErr w:type="spellStart"/>
      <w:r w:rsidR="66146E86">
        <w:rPr/>
        <w:t>asvin</w:t>
      </w:r>
      <w:proofErr w:type="spellEnd"/>
      <w:r w:rsidR="66146E86">
        <w:rPr/>
        <w:t xml:space="preserve"> platform exposes its services using the REST API end-points. The other IoT services and platforms can interact with the </w:t>
      </w:r>
      <w:proofErr w:type="spellStart"/>
      <w:r w:rsidR="66146E86">
        <w:rPr/>
        <w:t>asvin</w:t>
      </w:r>
      <w:proofErr w:type="spellEnd"/>
      <w:r w:rsidR="66146E86">
        <w:rPr/>
        <w:t xml:space="preserve"> platform using these APIs. The </w:t>
      </w:r>
      <w:r w:rsidR="66146E86">
        <w:rPr/>
        <w:t>IoT agent</w:t>
      </w:r>
      <w:r w:rsidR="66146E86">
        <w:rPr/>
        <w:t xml:space="preserve"> forward its data to the </w:t>
      </w:r>
      <w:proofErr w:type="spellStart"/>
      <w:r w:rsidR="66146E86">
        <w:rPr/>
        <w:t>asvin</w:t>
      </w:r>
      <w:proofErr w:type="spellEnd"/>
      <w:r w:rsidR="66146E86">
        <w:rPr/>
        <w:t xml:space="preserve"> platform using the respective API end-point. The </w:t>
      </w:r>
      <w:proofErr w:type="spellStart"/>
      <w:r w:rsidR="66146E86">
        <w:rPr/>
        <w:t>asvin</w:t>
      </w:r>
      <w:proofErr w:type="spellEnd"/>
      <w:r w:rsidR="66146E86">
        <w:rPr/>
        <w:t xml:space="preserve"> platform can send data to the network server directly as it also has REST API end-points or it can send data through the </w:t>
      </w:r>
      <w:r w:rsidR="66146E86">
        <w:rPr/>
        <w:t>IoT Agent</w:t>
      </w:r>
      <w:r w:rsidR="66146E86">
        <w:rPr/>
        <w:t>.</w:t>
      </w:r>
    </w:p>
    <w:p w:rsidR="001C7E99" w:rsidP="001C7E99" w:rsidRDefault="001C7E99" w14:paraId="63DA458F" w14:textId="57EE48E8">
      <w:pPr>
        <w:pStyle w:val="Ttulo1"/>
        <w:numPr>
          <w:ilvl w:val="0"/>
          <w:numId w:val="2"/>
        </w:numPr>
        <w:pBdr>
          <w:bottom w:val="none" w:color="auto" w:sz="0" w:space="0"/>
        </w:pBdr>
        <w:ind w:left="432"/>
        <w:jc w:val="left"/>
        <w:rPr/>
      </w:pPr>
      <w:bookmarkStart w:name="_Toc475965873" w:id="279"/>
      <w:bookmarkStart w:name="_Toc508189537" w:id="280"/>
      <w:bookmarkStart w:name="_Toc508192408" w:id="281"/>
      <w:bookmarkStart w:name="_Toc535313314" w:id="282"/>
      <w:bookmarkStart w:name="_Toc535313412" w:id="283"/>
      <w:bookmarkStart w:name="_Toc535314320" w:id="284"/>
      <w:bookmarkStart w:name="_Toc535314373" w:id="285"/>
      <w:bookmarkStart w:name="_Toc26358822" w:id="286"/>
      <w:r w:rsidR="66146E86">
        <w:rPr/>
        <w:t>Conclusions</w:t>
      </w:r>
      <w:bookmarkEnd w:id="279"/>
      <w:bookmarkEnd w:id="280"/>
      <w:bookmarkEnd w:id="281"/>
      <w:bookmarkEnd w:id="282"/>
      <w:bookmarkEnd w:id="283"/>
      <w:bookmarkEnd w:id="284"/>
      <w:bookmarkEnd w:id="285"/>
      <w:r w:rsidR="66146E86">
        <w:rPr/>
        <w:t xml:space="preserve"> and next steps</w:t>
      </w:r>
      <w:bookmarkEnd w:id="286"/>
    </w:p>
    <w:p w:rsidR="4C8FC267" w:rsidP="4C8FC267" w:rsidRDefault="4C8FC267" w14:paraId="06C014AC" w14:textId="519E7838">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rsidR="4C8FC267" w:rsidP="4C8FC267" w:rsidRDefault="4C8FC267" w14:paraId="044F6F83" w14:textId="055F3E6C">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Refdenotaalpie"/>
        </w:rPr>
        <w:footnoteReference w:id="2"/>
      </w:r>
    </w:p>
    <w:p w:rsidR="4C8FC267" w:rsidP="4C8FC267" w:rsidRDefault="4C8FC267" w14:paraId="5F337E35" w14:textId="4831837C">
      <w:r>
        <w:t xml:space="preserve">Going ahead in the future, we will develop the components of the architecture using the SCRUM framework. We will plan </w:t>
      </w:r>
      <w:proofErr w:type="gramStart"/>
      <w:r>
        <w:t>one week</w:t>
      </w:r>
      <w:proofErr w:type="gramEnd"/>
      <w:r>
        <w:t xml:space="preserve">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287"/>
      <w:bookmarkStart w:name="_Toc535314375" w:id="288"/>
      <w:r>
        <w:br w:type="page"/>
      </w:r>
    </w:p>
    <w:p w:rsidRPr="001C7E99" w:rsidR="00D565FD" w:rsidP="66146E86" w:rsidRDefault="4C8FC267" w14:paraId="42EAE5E3" w14:textId="78781DA7">
      <w:pPr>
        <w:pStyle w:val="Appendix"/>
        <w:numPr>
          <w:numId w:val="0"/>
        </w:numPr>
      </w:pPr>
      <w:bookmarkStart w:name="_Toc26358823" w:id="289"/>
      <w:r w:rsidR="66146E86">
        <w:rPr/>
        <w:t>Appendix</w:t>
      </w:r>
      <w:bookmarkEnd w:id="287"/>
      <w:bookmarkEnd w:id="288"/>
      <w:bookmarkEnd w:id="289"/>
    </w:p>
    <w:p w:rsidR="66146E86" w:rsidP="66146E86" w:rsidRDefault="66146E86" w14:paraId="57BACE6E" w14:textId="7CD52C64">
      <w:pPr>
        <w:pStyle w:val="Appendix"/>
        <w:numPr>
          <w:numId w:val="0"/>
        </w:numPr>
      </w:pPr>
    </w:p>
    <w:p w:rsidR="66146E86" w:rsidP="66146E86" w:rsidRDefault="66146E86" w14:paraId="3B7FE118" w14:textId="4A9F581F">
      <w:pPr>
        <w:pStyle w:val="Normal"/>
      </w:pPr>
      <w:r w:rsidRPr="66146E86" w:rsidR="66146E86">
        <w:rPr>
          <w:rStyle w:val="Ttulo1Car"/>
        </w:rPr>
        <w:t>Acronyms</w:t>
      </w:r>
    </w:p>
    <w:p w:rsidR="66146E86" w:rsidP="66146E86" w:rsidRDefault="66146E86" w14:paraId="00A117B5" w14:textId="557E94B5">
      <w:pPr>
        <w:pStyle w:val="Normal"/>
      </w:pPr>
    </w:p>
    <w:p w:rsidR="66146E86" w:rsidP="66146E86" w:rsidRDefault="66146E86" w14:paraId="40212AE8" w14:textId="5F7ECF6B">
      <w:pPr>
        <w:pStyle w:val="Normal"/>
      </w:pPr>
      <w:r w:rsidR="66146E86">
        <w:rPr/>
        <w:t>AAA</w:t>
      </w:r>
      <w:r>
        <w:tab/>
      </w:r>
      <w:r>
        <w:tab/>
      </w:r>
      <w:r>
        <w:tab/>
      </w:r>
      <w:r w:rsidR="66146E86">
        <w:rPr/>
        <w:t>Authentication Authorization and Accounting</w:t>
      </w:r>
      <w:r w:rsidR="66146E86">
        <w:rPr/>
        <w:t xml:space="preserve"> </w:t>
      </w:r>
    </w:p>
    <w:p w:rsidR="66146E86" w:rsidP="66146E86" w:rsidRDefault="66146E86" w14:paraId="36CA15C4" w14:textId="7B96F2BC">
      <w:pPr>
        <w:pStyle w:val="Normal"/>
      </w:pPr>
      <w:r w:rsidR="66146E86">
        <w:rPr/>
        <w:t>API</w:t>
      </w:r>
      <w:r>
        <w:tab/>
      </w:r>
      <w:r>
        <w:tab/>
      </w:r>
      <w:r>
        <w:tab/>
      </w:r>
      <w:r w:rsidR="66146E86">
        <w:rPr/>
        <w:t>Application Programming Interface</w:t>
      </w:r>
    </w:p>
    <w:p w:rsidR="66146E86" w:rsidP="66146E86" w:rsidRDefault="66146E86" w14:paraId="7E2A38E5" w14:textId="5AACE53B">
      <w:pPr>
        <w:pStyle w:val="Normal"/>
      </w:pPr>
      <w:r w:rsidR="66146E86">
        <w:rPr/>
        <w:t>BLE</w:t>
      </w:r>
      <w:r>
        <w:tab/>
      </w:r>
      <w:r>
        <w:tab/>
      </w:r>
      <w:r>
        <w:tab/>
      </w:r>
      <w:r w:rsidR="66146E86">
        <w:rPr/>
        <w:t>Bluetooth Low Energy</w:t>
      </w:r>
    </w:p>
    <w:p w:rsidR="66146E86" w:rsidP="66146E86" w:rsidRDefault="66146E86" w14:paraId="1C82AF6D" w14:textId="54E6886B">
      <w:pPr>
        <w:pStyle w:val="Normal"/>
      </w:pPr>
      <w:proofErr w:type="spellStart"/>
      <w:r w:rsidR="66146E86">
        <w:rPr/>
        <w:t>CoAP</w:t>
      </w:r>
      <w:proofErr w:type="spellEnd"/>
      <w:r>
        <w:tab/>
      </w:r>
      <w:r>
        <w:tab/>
      </w:r>
      <w:r>
        <w:tab/>
      </w:r>
      <w:r w:rsidR="66146E86">
        <w:rPr/>
        <w:t>Constrained Application Protocol</w:t>
      </w:r>
    </w:p>
    <w:p w:rsidR="66146E86" w:rsidP="66146E86" w:rsidRDefault="66146E86" w14:paraId="71F355BF" w14:textId="32DEFA89">
      <w:pPr>
        <w:pStyle w:val="Normal"/>
      </w:pPr>
      <w:r w:rsidR="66146E86">
        <w:rPr/>
        <w:t>EAP</w:t>
      </w:r>
      <w:r>
        <w:tab/>
      </w:r>
      <w:r>
        <w:tab/>
      </w:r>
      <w:r>
        <w:tab/>
      </w:r>
      <w:r w:rsidR="66146E86">
        <w:rPr/>
        <w:t>Extended Authentication Protocol</w:t>
      </w:r>
    </w:p>
    <w:p w:rsidR="66146E86" w:rsidP="66146E86" w:rsidRDefault="66146E86" w14:paraId="21DAF139" w14:textId="1B2EDD90">
      <w:pPr>
        <w:pStyle w:val="Normal"/>
      </w:pPr>
      <w:r w:rsidR="66146E86">
        <w:rPr/>
        <w:t>FOSS</w:t>
      </w:r>
      <w:r>
        <w:tab/>
      </w:r>
      <w:r>
        <w:tab/>
      </w:r>
      <w:r>
        <w:tab/>
      </w:r>
      <w:r w:rsidR="66146E86">
        <w:rPr/>
        <w:t>Free Open-Source Software</w:t>
      </w:r>
    </w:p>
    <w:p w:rsidR="66146E86" w:rsidP="66146E86" w:rsidRDefault="66146E86" w14:paraId="361A4947" w14:textId="4E2239F5">
      <w:pPr>
        <w:pStyle w:val="Normal"/>
      </w:pPr>
      <w:r w:rsidR="66146E86">
        <w:rPr/>
        <w:t>FOTA</w:t>
      </w:r>
      <w:r>
        <w:tab/>
      </w:r>
      <w:r>
        <w:tab/>
      </w:r>
      <w:r>
        <w:tab/>
      </w:r>
      <w:r w:rsidR="66146E86">
        <w:rPr/>
        <w:t>Firmware Over the Air</w:t>
      </w:r>
    </w:p>
    <w:p w:rsidR="66146E86" w:rsidP="66146E86" w:rsidRDefault="66146E86" w14:paraId="0655DBFF" w14:textId="119084DC">
      <w:pPr>
        <w:pStyle w:val="Normal"/>
      </w:pPr>
      <w:r w:rsidR="66146E86">
        <w:rPr/>
        <w:t>GPS</w:t>
      </w:r>
      <w:r>
        <w:tab/>
      </w:r>
      <w:r>
        <w:tab/>
      </w:r>
      <w:r>
        <w:tab/>
      </w:r>
      <w:r w:rsidR="66146E86">
        <w:rPr/>
        <w:t>Global Positioning System</w:t>
      </w:r>
    </w:p>
    <w:p w:rsidR="66146E86" w:rsidP="66146E86" w:rsidRDefault="66146E86" w14:paraId="75DA37F9" w14:textId="0ACE0D64">
      <w:pPr>
        <w:pStyle w:val="Normal"/>
      </w:pPr>
      <w:r w:rsidR="66146E86">
        <w:rPr/>
        <w:t>HTTPS</w:t>
      </w:r>
      <w:r>
        <w:tab/>
      </w:r>
      <w:r>
        <w:tab/>
      </w:r>
      <w:r w:rsidR="66146E86">
        <w:rPr/>
        <w:t>Hypertext Transfer Protocol Secure</w:t>
      </w:r>
    </w:p>
    <w:p w:rsidR="66146E86" w:rsidP="66146E86" w:rsidRDefault="66146E86" w14:paraId="6499551C" w14:textId="34E748B3">
      <w:pPr>
        <w:pStyle w:val="Normal"/>
      </w:pPr>
      <w:r w:rsidR="66146E86">
        <w:rPr/>
        <w:t>IoT</w:t>
      </w:r>
      <w:r>
        <w:tab/>
      </w:r>
      <w:r>
        <w:tab/>
      </w:r>
      <w:r>
        <w:tab/>
      </w:r>
      <w:r w:rsidR="66146E86">
        <w:rPr/>
        <w:t>Internet of Things</w:t>
      </w:r>
    </w:p>
    <w:p w:rsidR="66146E86" w:rsidP="66146E86" w:rsidRDefault="66146E86" w14:paraId="765ED7A2" w14:textId="1CC35B13">
      <w:pPr>
        <w:pStyle w:val="Normal"/>
      </w:pPr>
      <w:r w:rsidR="66146E86">
        <w:rPr/>
        <w:t>IPFS</w:t>
      </w:r>
      <w:r>
        <w:tab/>
      </w:r>
      <w:r>
        <w:tab/>
      </w:r>
      <w:r>
        <w:tab/>
      </w:r>
      <w:proofErr w:type="spellStart"/>
      <w:r w:rsidR="66146E86">
        <w:rPr/>
        <w:t>InterPlanetary</w:t>
      </w:r>
      <w:proofErr w:type="spellEnd"/>
      <w:r w:rsidR="66146E86">
        <w:rPr/>
        <w:t xml:space="preserve"> File System</w:t>
      </w:r>
    </w:p>
    <w:p w:rsidR="66146E86" w:rsidP="66146E86" w:rsidRDefault="66146E86" w14:paraId="10D81F6F" w14:textId="6777B2E5">
      <w:pPr>
        <w:pStyle w:val="Normal"/>
      </w:pPr>
      <w:r w:rsidR="66146E86">
        <w:rPr/>
        <w:t>LoRa</w:t>
      </w:r>
      <w:r>
        <w:tab/>
      </w:r>
      <w:r>
        <w:tab/>
      </w:r>
      <w:r>
        <w:tab/>
      </w:r>
      <w:r w:rsidR="66146E86">
        <w:rPr/>
        <w:t>Long Range</w:t>
      </w:r>
    </w:p>
    <w:p w:rsidR="66146E86" w:rsidP="66146E86" w:rsidRDefault="66146E86" w14:paraId="35621C0F" w14:textId="1EA4B921">
      <w:pPr>
        <w:pStyle w:val="Normal"/>
      </w:pPr>
      <w:r w:rsidR="66146E86">
        <w:rPr/>
        <w:t>LoRaWAN</w:t>
      </w:r>
      <w:r>
        <w:tab/>
      </w:r>
      <w:r>
        <w:tab/>
      </w:r>
      <w:r w:rsidR="66146E86">
        <w:rPr/>
        <w:t>Long Range Wireless Area Network</w:t>
      </w:r>
    </w:p>
    <w:p w:rsidR="66146E86" w:rsidP="66146E86" w:rsidRDefault="66146E86" w14:paraId="4B40799E" w14:textId="778A93BC">
      <w:pPr>
        <w:pStyle w:val="Normal"/>
      </w:pPr>
      <w:r w:rsidR="66146E86">
        <w:rPr/>
        <w:t>LTE</w:t>
      </w:r>
      <w:r>
        <w:tab/>
      </w:r>
      <w:r>
        <w:tab/>
      </w:r>
      <w:r>
        <w:tab/>
      </w:r>
      <w:r w:rsidR="66146E86">
        <w:rPr/>
        <w:t>Long-Term Evolution</w:t>
      </w:r>
    </w:p>
    <w:p w:rsidR="66146E86" w:rsidP="66146E86" w:rsidRDefault="66146E86" w14:paraId="12BA28D6" w14:textId="452F4AE0">
      <w:pPr>
        <w:pStyle w:val="Normal"/>
      </w:pPr>
      <w:r w:rsidR="66146E86">
        <w:rPr/>
        <w:t>MAC</w:t>
      </w:r>
      <w:r>
        <w:tab/>
      </w:r>
      <w:r>
        <w:tab/>
      </w:r>
      <w:r>
        <w:tab/>
      </w:r>
      <w:r w:rsidR="66146E86">
        <w:rPr/>
        <w:t>Medium Access Control</w:t>
      </w:r>
    </w:p>
    <w:p w:rsidR="66146E86" w:rsidP="66146E86" w:rsidRDefault="66146E86" w14:paraId="64CB0C6F" w14:textId="1771883A">
      <w:pPr>
        <w:pStyle w:val="Normal"/>
      </w:pPr>
      <w:r w:rsidR="66146E86">
        <w:rPr/>
        <w:t>MQTT</w:t>
      </w:r>
      <w:r>
        <w:tab/>
      </w:r>
      <w:r>
        <w:tab/>
      </w:r>
      <w:r>
        <w:tab/>
      </w:r>
      <w:r w:rsidR="66146E86">
        <w:rPr/>
        <w:t>Message Queuing Telemetry Transport</w:t>
      </w:r>
    </w:p>
    <w:p w:rsidR="66146E86" w:rsidP="66146E86" w:rsidRDefault="66146E86" w14:paraId="130B425E" w14:textId="3B6A7701">
      <w:pPr>
        <w:pStyle w:val="Normal"/>
      </w:pPr>
      <w:r w:rsidR="66146E86">
        <w:rPr/>
        <w:t>RADIUS</w:t>
      </w:r>
      <w:r>
        <w:tab/>
      </w:r>
      <w:r>
        <w:tab/>
      </w:r>
      <w:r w:rsidR="66146E86">
        <w:rPr/>
        <w:t xml:space="preserve">Remote Authentication Dial </w:t>
      </w:r>
      <w:proofErr w:type="gramStart"/>
      <w:r w:rsidR="66146E86">
        <w:rPr/>
        <w:t>In</w:t>
      </w:r>
      <w:proofErr w:type="gramEnd"/>
      <w:r w:rsidR="66146E86">
        <w:rPr/>
        <w:t xml:space="preserve"> User Service</w:t>
      </w:r>
    </w:p>
    <w:p w:rsidR="66146E86" w:rsidP="66146E86" w:rsidRDefault="66146E86" w14:paraId="586E18AC" w14:textId="0B5825AF">
      <w:pPr>
        <w:pStyle w:val="Normal"/>
      </w:pPr>
      <w:r w:rsidR="66146E86">
        <w:rPr/>
        <w:t>REST</w:t>
      </w:r>
      <w:r>
        <w:tab/>
      </w:r>
      <w:r>
        <w:tab/>
      </w:r>
      <w:r>
        <w:tab/>
      </w:r>
      <w:r w:rsidR="66146E86">
        <w:rPr/>
        <w:t>Representational State Transfer</w:t>
      </w:r>
    </w:p>
    <w:p w:rsidR="66146E86" w:rsidP="66146E86" w:rsidRDefault="66146E86" w14:paraId="1787E811" w14:textId="2216E1D6">
      <w:pPr>
        <w:pStyle w:val="Normal"/>
      </w:pPr>
      <w:r w:rsidR="66146E86">
        <w:rPr/>
        <w:t>RTC</w:t>
      </w:r>
      <w:r>
        <w:tab/>
      </w:r>
      <w:r>
        <w:tab/>
      </w:r>
      <w:r>
        <w:tab/>
      </w:r>
      <w:r w:rsidR="66146E86">
        <w:rPr/>
        <w:t>Real Time Clock</w:t>
      </w:r>
    </w:p>
    <w:p w:rsidR="66146E86" w:rsidP="66146E86" w:rsidRDefault="66146E86" w14:paraId="10798A02" w14:textId="0BDFE389">
      <w:pPr>
        <w:pStyle w:val="Normal"/>
      </w:pPr>
      <w:r w:rsidR="66146E86">
        <w:rPr/>
        <w:t>PaaS</w:t>
      </w:r>
      <w:r>
        <w:tab/>
      </w:r>
      <w:r>
        <w:tab/>
      </w:r>
      <w:r>
        <w:tab/>
      </w:r>
      <w:r w:rsidR="66146E86">
        <w:rPr/>
        <w:t>Platform as a Service</w:t>
      </w:r>
    </w:p>
    <w:p w:rsidR="66146E86" w:rsidP="66146E86" w:rsidRDefault="66146E86" w14:paraId="2497AB01" w14:textId="3FC505F1">
      <w:pPr>
        <w:pStyle w:val="Normal"/>
      </w:pPr>
    </w:p>
    <w:p w:rsidR="66146E86" w:rsidP="66146E86" w:rsidRDefault="66146E86" w14:paraId="73CD2C36" w14:textId="52546498">
      <w:pPr>
        <w:pStyle w:val="Normal"/>
      </w:pPr>
    </w:p>
    <w:p w:rsidR="66146E86" w:rsidP="66146E86" w:rsidRDefault="66146E86" w14:paraId="47F3DC57" w14:textId="2C9186CB">
      <w:pPr>
        <w:pStyle w:val="Normal"/>
      </w:pPr>
    </w:p>
    <w:p w:rsidR="66146E86" w:rsidP="66146E86" w:rsidRDefault="66146E86" w14:paraId="287DF01A" w14:textId="226465FA">
      <w:pPr>
        <w:pStyle w:val="Normal"/>
      </w:pPr>
    </w:p>
    <w:sectPr w:rsidRPr="001C7E99" w:rsidR="00D565FD" w:rsidSect="00F76410">
      <w:headerReference w:type="even" r:id="rId21"/>
      <w:headerReference w:type="default" r:id="rId22"/>
      <w:footerReference w:type="even" r:id="rId23"/>
      <w:footerReference w:type="default" r:id="rId24"/>
      <w:headerReference w:type="first" r:id="rId25"/>
      <w:footerReference w:type="first" r:id="rId26"/>
      <w:pgSz w:w="11900" w:h="16840" w:orient="portrait"/>
      <w:pgMar w:top="1440" w:right="1440" w:bottom="1440" w:left="1440" w:header="709" w:footer="708" w:gutter="0"/>
      <w:pgNumType w:start="1"/>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6DCF" w:rsidP="000E2B00" w:rsidRDefault="000C6DCF" w14:paraId="1DAC0643" w14:textId="77777777">
      <w:r>
        <w:separator/>
      </w:r>
    </w:p>
  </w:endnote>
  <w:endnote w:type="continuationSeparator" w:id="0">
    <w:p w:rsidR="000C6DCF" w:rsidP="000E2B00" w:rsidRDefault="000C6DCF" w14:paraId="1DAA2CAC" w14:textId="77777777">
      <w:r>
        <w:continuationSeparator/>
      </w:r>
    </w:p>
  </w:endnote>
  <w:endnote w:id="1">
    <w:p w:rsidR="4C8FC267" w:rsidP="4C8FC267" w:rsidRDefault="4C8FC267" w14:paraId="4B428BDE" w14:textId="59AD114A">
      <w:pPr>
        <w:pStyle w:val="Textonotaalfinal"/>
      </w:pPr>
      <w:r w:rsidRPr="4C8FC267">
        <w:rPr>
          <w:rStyle w:val="Refdenotaalfinal"/>
        </w:rPr>
        <w:endnoteRef/>
      </w:r>
      <w:r>
        <w:t xml:space="preserve"> https://www.scrumguides.org/scrum-guide.html</w:t>
      </w:r>
    </w:p>
  </w:endnote>
  <w:endnote w:id="2">
    <w:p w:rsidR="50843FD9" w:rsidP="50843FD9" w:rsidRDefault="50843FD9" w14:paraId="6DD5B391" w14:textId="33AFC6C2">
      <w:pPr>
        <w:pStyle w:val="Textonotaalfinal"/>
      </w:pPr>
      <w:r w:rsidRPr="50843FD9">
        <w:rPr>
          <w:rStyle w:val="Refdenotaalfinal"/>
        </w:rPr>
        <w:endnoteRef/>
      </w:r>
      <w:r>
        <w:t xml:space="preserve"> https://lora-alliance.org/sites/default/files/2018-05/2015_-_lorawan_specification_1r0_611_1.pdf</w:t>
      </w:r>
    </w:p>
  </w:endnote>
  <w:endnote w:id="3">
    <w:p w:rsidR="50843FD9" w:rsidP="50843FD9" w:rsidRDefault="50843FD9" w14:paraId="08582FF5" w14:textId="056E16DD">
      <w:pPr>
        <w:pStyle w:val="Textonotaalfinal"/>
      </w:pPr>
      <w:r w:rsidRPr="50843FD9">
        <w:rPr>
          <w:rStyle w:val="Refdenotaalfinal"/>
        </w:rPr>
        <w:endnoteRef/>
      </w:r>
      <w:r>
        <w:t xml:space="preserve"> </w:t>
      </w:r>
      <w:r w:rsidR="4C8FC267">
        <w:t>http://wiki.lahoud.fr/lib/exe/fetch.php?media=an1200.22.pdf</w:t>
      </w:r>
    </w:p>
  </w:endnote>
  <w:endnote w:id="4">
    <w:p w:rsidR="50843FD9" w:rsidP="50843FD9" w:rsidRDefault="50843FD9" w14:paraId="6A4A1F4C" w14:textId="37604537">
      <w:pPr>
        <w:pStyle w:val="Textonotaalfinal"/>
      </w:pPr>
      <w:r w:rsidRPr="50843FD9">
        <w:rPr>
          <w:rStyle w:val="Refdenotaalfinal"/>
        </w:rPr>
        <w:endnoteRef/>
      </w:r>
      <w:r>
        <w:t xml:space="preserve"> </w:t>
      </w:r>
      <w:r w:rsidR="4C8FC267">
        <w:t>https://www.mouser.com/datasheet/2/761/sx1276-1278113.pdf</w:t>
      </w:r>
    </w:p>
  </w:endnote>
  <w:endnote w:id="5">
    <w:p w:rsidR="50843FD9" w:rsidP="50843FD9" w:rsidRDefault="50843FD9" w14:paraId="224C5444" w14:textId="5ECAB1A2">
      <w:pPr>
        <w:pStyle w:val="Textonotaalfinal"/>
      </w:pPr>
      <w:r w:rsidRPr="50843FD9">
        <w:rPr>
          <w:rStyle w:val="Refdenotaalfinal"/>
        </w:rPr>
        <w:endnoteRef/>
      </w:r>
      <w:r>
        <w:t xml:space="preserve"> https://www.hoperf.com/modules/lora/RFM95.html</w:t>
      </w:r>
    </w:p>
  </w:endnote>
  <w:endnote w:id="6">
    <w:p w:rsidR="50843FD9" w:rsidP="50843FD9" w:rsidRDefault="50843FD9" w14:paraId="1D782825" w14:textId="73CBED65">
      <w:pPr>
        <w:pStyle w:val="Textonotaalfinal"/>
      </w:pPr>
      <w:r w:rsidRPr="50843FD9">
        <w:rPr>
          <w:rStyle w:val="Refdenotaalfinal"/>
        </w:rPr>
        <w:endnoteRef/>
      </w:r>
      <w:r>
        <w:t xml:space="preserve"> http://ww1.microchip.com/downloads/en/devicedoc/50002346c.pdf</w:t>
      </w:r>
    </w:p>
  </w:endnote>
  <w:endnote w:id="7">
    <w:p w:rsidR="6078CAA3" w:rsidP="6078CAA3" w:rsidRDefault="6078CAA3" w14:paraId="06A6646C" w14:textId="36170E6E">
      <w:pPr>
        <w:pStyle w:val="Textonotaalfinal"/>
      </w:pPr>
      <w:r w:rsidRPr="6078CAA3">
        <w:rPr>
          <w:rStyle w:val="Refdenotaalfinal"/>
        </w:rPr>
        <w:endnoteRef/>
      </w:r>
      <w:r>
        <w:t xml:space="preserve"> </w:t>
      </w:r>
      <w:r w:rsidR="4C8FC267">
        <w:t>https://static6.arrow.com/aropdfconversion/5ff647cd30f423703234cbf85de7f2e794f2b199/smarteverythingasmelionuserguide.pdf</w:t>
      </w:r>
    </w:p>
  </w:endnote>
  <w:endnote w:id="8">
    <w:p w:rsidR="6078CAA3" w:rsidP="6078CAA3" w:rsidRDefault="6078CAA3" w14:paraId="5CDF0DE3" w14:textId="4EEB6A17">
      <w:pPr>
        <w:pStyle w:val="Textonotaalfinal"/>
      </w:pPr>
      <w:r w:rsidRPr="6078CAA3">
        <w:rPr>
          <w:rStyle w:val="Refdenotaalfinal"/>
        </w:rPr>
        <w:endnoteRef/>
      </w:r>
      <w:r>
        <w:t xml:space="preserve"> https://lorawan-hackathon.readthedocs.io/en/latest/lion.html</w:t>
      </w:r>
    </w:p>
  </w:endnote>
  <w:endnote w:id="9">
    <w:p w:rsidR="4C8FC267" w:rsidP="4C8FC267" w:rsidRDefault="4C8FC267" w14:paraId="448BFE58" w14:textId="167D2344">
      <w:pPr>
        <w:pStyle w:val="Textonotaalfinal"/>
      </w:pPr>
      <w:r w:rsidRPr="4C8FC267">
        <w:rPr>
          <w:rStyle w:val="Refdenotaalfinal"/>
        </w:rPr>
        <w:endnoteRef/>
      </w:r>
      <w:r>
        <w:t xml:space="preserve"> https://cdn.sparkfun.com/datasheets/Dev/Arduino/Boards/Atmel-42181-SAM-D21_Datasheet.pdf</w:t>
      </w:r>
    </w:p>
  </w:endnote>
  <w:endnote w:id="10">
    <w:p w:rsidR="4C8FC267" w:rsidP="4C8FC267" w:rsidRDefault="4C8FC267" w14:paraId="416189E4" w14:textId="6E788EB4">
      <w:pPr>
        <w:pStyle w:val="Textonotaalfinal"/>
      </w:pPr>
      <w:r w:rsidRPr="4C8FC267">
        <w:rPr>
          <w:rStyle w:val="Refdenotaalfinal"/>
        </w:rPr>
        <w:endnoteRef/>
      </w:r>
      <w:r>
        <w:rPr/>
        <w:t xml:space="preserve"> </w:t>
      </w:r>
      <w:r w:rsidR="66146E86">
        <w:rPr/>
        <w:t>https://ww1.microchip.com/downloads/en/DeviceDoc/RN4870-71-Bluetooth-Low-Energy-Module-Data-Sheet-DS50002489D.pdf</w:t>
      </w:r>
    </w:p>
  </w:endnote>
  <w:endnote w:id="11">
    <w:p w:rsidR="4C8FC267" w:rsidP="4C8FC267" w:rsidRDefault="4C8FC267" w14:paraId="5A18226C" w14:textId="20407AAC">
      <w:pPr>
        <w:pStyle w:val="Textonotaalfinal"/>
      </w:pPr>
      <w:r w:rsidRPr="4C8FC267">
        <w:rPr>
          <w:rStyle w:val="Refdenotaalfinal"/>
        </w:rPr>
        <w:endnoteRef/>
      </w:r>
      <w:r>
        <w:t xml:space="preserve"> https://ww1.microchip.com/downloads/en/DeviceDoc/20005928A.pdf</w:t>
      </w:r>
    </w:p>
  </w:endnote>
  <w:endnote w:id="12">
    <w:p w:rsidR="4C8FC267" w:rsidP="4C8FC267" w:rsidRDefault="4C8FC267" w14:paraId="23E73F08" w14:textId="3B54D139">
      <w:pPr>
        <w:pStyle w:val="Textonotaalfinal"/>
      </w:pPr>
      <w:r w:rsidRPr="4C8FC267">
        <w:rPr>
          <w:rStyle w:val="Refdenotaalfinal"/>
        </w:rPr>
        <w:endnoteRef/>
      </w:r>
      <w:r>
        <w:rPr/>
        <w:t xml:space="preserve"> </w:t>
      </w:r>
      <w:r w:rsidRPr="00E40921" w:rsidR="00E40921">
        <w:rPr/>
        <w:t>http://www.risinghf.com/product/detail/21</w:t>
      </w:r>
    </w:p>
  </w:endnote>
  <w:endnote w:id="13">
    <w:p w:rsidR="4C8FC267" w:rsidP="4C8FC267" w:rsidRDefault="4C8FC267" w14:paraId="13286B79" w14:textId="3C44BD0F">
      <w:pPr>
        <w:pStyle w:val="Textonotaalfinal"/>
      </w:pPr>
      <w:r w:rsidRPr="4C8FC267">
        <w:rPr>
          <w:rStyle w:val="Refdenotaalfinal"/>
        </w:rPr>
        <w:endnoteRef/>
      </w:r>
      <w:r>
        <w:t xml:space="preserve"> https://www.mouser.com/datasheet/2/761/sx1301-1523429.pdf</w:t>
      </w:r>
    </w:p>
  </w:endnote>
  <w:endnote w:id="14">
    <w:p w:rsidRPr="00224F0A" w:rsidR="00224F0A" w:rsidRDefault="00224F0A" w14:paraId="520BDBE6" w14:textId="36E7FDF2" w14:noSpellErr="1">
      <w:pPr>
        <w:pStyle w:val="Textonotaalfinal"/>
        <w:rPr>
          <w:lang w:val="en-US"/>
        </w:rPr>
      </w:pPr>
      <w:ins w:author="Jesús Sánchez-Gómez" w:date="2020-12-29T19:48:00Z" w:id="116">
        <w:r>
          <w:rPr>
            <w:rStyle w:val="Refdenotaalfinal"/>
          </w:rPr>
          <w:endnoteRef/>
        </w:r>
      </w:ins>
      <w:r>
        <w:rPr/>
        <w:t xml:space="preserve"> </w:t>
      </w:r>
      <w:ins w:author="Jesús Sánchez-Gómez" w:date="2020-12-29T19:48:00Z" w:id="116">
        <w:r>
          <w:fldChar w:fldCharType="begin"/>
        </w:r>
        <w:r>
          <w:instrText xml:space="preserve"> HYPERLINK "</w:instrText>
        </w:r>
        <w:r>
          <w:instrText xml:space="preserve">https://www.chirpstack.io/</w:instrText>
        </w:r>
        <w:r>
          <w:instrText xml:space="preserve">" </w:instrText>
        </w:r>
        <w:r>
          <w:fldChar w:fldCharType="separate"/>
        </w:r>
      </w:ins>
      <w:r w:rsidRPr="004813A1">
        <w:rPr>
          <w:rStyle w:val="Hipervnculo"/>
        </w:rPr>
        <w:t>https://www.chirpstack.io/</w:t>
      </w:r>
      <w:ins w:author="Jesús Sánchez-Gómez" w:date="2020-12-29T19:48:00Z" w:id="116">
        <w:r>
          <w:fldChar w:fldCharType="end"/>
        </w:r>
      </w:ins>
      <w:r>
        <w:rPr/>
        <w:t xml:space="preserve"> </w:t>
      </w:r>
      <w:r w:rsidRPr="00224F0A">
        <w:rPr/>
        <w:t>ChirpStack, open-source LoRaWAN® Network Server stack</w:t>
      </w:r>
    </w:p>
  </w:endnote>
  <w:endnote w:id="15">
    <w:p w:rsidRPr="007B3FD5" w:rsidR="007B3FD5" w:rsidRDefault="007B3FD5" w14:paraId="3D2E8C3E" w14:textId="0BD614AB" w14:noSpellErr="1">
      <w:pPr>
        <w:pStyle w:val="Textonotaalfinal"/>
        <w:rPr>
          <w:lang w:val="en-US"/>
        </w:rPr>
      </w:pPr>
      <w:ins w:author="Jesús Sánchez-Gómez" w:date="2020-12-29T19:54:00Z" w:id="120">
        <w:r>
          <w:rPr>
            <w:rStyle w:val="Refdenotaalfinal"/>
          </w:rPr>
          <w:endnoteRef/>
        </w:r>
      </w:ins>
      <w:r>
        <w:rPr/>
        <w:t xml:space="preserve"> </w:t>
      </w:r>
      <w:r w:rsidRPr="007B3FD5">
        <w:rPr>
          <w:rFonts w:ascii="Calibri" w:hAnsi="Calibri" w:cs="Calibri"/>
        </w:rPr>
        <w:t/>
      </w:r>
      <w:r w:rsidRPr="007B3FD5">
        <w:rPr/>
        <w:t>OASIS. (2014). MQTT Version 3.1.1. OASIS Standard, October, 81. http://docs.oasis-open.org/mqtt/mqtt/v3.1.1/os/mqtt-v3.1.1-os.html</w:t>
      </w:r>
    </w:p>
  </w:endnote>
  <w:endnote w:id="16">
    <w:p w:rsidR="4C8FC267" w:rsidP="4C8FC267" w:rsidRDefault="4C8FC267" w14:paraId="3BD1B0D5" w14:textId="2A70423F">
      <w:pPr>
        <w:pStyle w:val="Textonotaalfinal"/>
      </w:pPr>
      <w:r w:rsidRPr="4C8FC267">
        <w:rPr>
          <w:rStyle w:val="Refdenotaalfinal"/>
        </w:rPr>
        <w:endnoteRef/>
      </w:r>
      <w:r>
        <w:t xml:space="preserve"> https://roy.gbiv.com/pubs/dissertation/top.htm</w:t>
      </w:r>
    </w:p>
  </w:endnote>
  <w:endnote w:id="17">
    <w:p w:rsidRPr="007B3FD5" w:rsidR="007B3FD5" w:rsidRDefault="007B3FD5" w14:paraId="031E6E71" w14:textId="74F2A556" w14:noSpellErr="1">
      <w:pPr>
        <w:pStyle w:val="Textonotaalfinal"/>
      </w:pPr>
      <w:ins w:author="Jesús Sánchez-Gómez" w:date="2020-12-29T20:01:00Z" w:id="125">
        <w:r>
          <w:rPr>
            <w:rStyle w:val="Refdenotaalfinal"/>
          </w:rPr>
          <w:endnoteRef/>
        </w:r>
      </w:ins>
      <w:r>
        <w:rPr/>
        <w:t xml:space="preserve"> </w:t>
      </w:r>
      <w:r w:rsidRPr="007B3FD5">
        <w:rPr>
          <w:rFonts w:ascii="Calibri" w:hAnsi="Calibri" w:cs="Calibri"/>
        </w:rPr>
        <w:t/>
      </w:r>
      <w:r w:rsidRPr="007B3FD5">
        <w:rPr/>
        <w:t xml:space="preserve">Spence, D., Gross, G., de Laat, C., Farrell, S., </w:t>
      </w:r>
      <w:r w:rsidRPr="007B3FD5">
        <w:rPr/>
        <w:t>Gommans, L. H. M., Calhoun, P. R., Holdrege, M., de Bruijn, B. W., &amp; Vollbrecht, J. (2000). AAA Authorization Framework (Issue 2904). RFC Editor. https://doi.org/10.17487/RFC2904</w:t>
      </w:r>
    </w:p>
  </w:endnote>
  <w:endnote w:id="18">
    <w:p w:rsidRPr="007561EE" w:rsidR="007561EE" w:rsidRDefault="007561EE" w14:paraId="7EE021DC" w14:textId="153AB6DA" w14:noSpellErr="1">
      <w:pPr>
        <w:pStyle w:val="Textonotaalfinal"/>
      </w:pPr>
      <w:ins w:author="Jesús Sánchez-Gómez" w:date="2020-12-29T20:05:00Z" w:id="139">
        <w:r>
          <w:rPr>
            <w:rStyle w:val="Refdenotaalfinal"/>
          </w:rPr>
          <w:endnoteRef/>
        </w:r>
      </w:ins>
      <w:r>
        <w:rPr/>
        <w:t xml:space="preserve"> </w:t>
      </w:r>
      <w:r w:rsidRPr="007561EE">
        <w:rPr>
          <w:rFonts w:ascii="Calibri" w:hAnsi="Calibri" w:cs="Calibri"/>
        </w:rPr>
        <w:t/>
      </w:r>
      <w:r w:rsidRPr="007561EE">
        <w:rPr/>
        <w:t xml:space="preserve">Rubens, A., Rigney, C., Willens, S., &amp; Simpson, W. A. (2000). Remote Authentication Dial </w:t>
      </w:r>
      <w:r w:rsidRPr="007561EE">
        <w:rPr/>
        <w:t>In User Service (RADIUS) (Issue 2865). RFC Editor. https://doi.org/10.17487/RFC2865</w:t>
      </w:r>
    </w:p>
  </w:endnote>
  <w:endnote w:id="19">
    <w:p w:rsidRPr="007561EE" w:rsidR="007561EE" w:rsidRDefault="007561EE" w14:paraId="083FB3CB" w14:textId="7FB3740B" w14:noSpellErr="1">
      <w:pPr>
        <w:pStyle w:val="Textonotaalfinal"/>
        <w:rPr>
          <w:lang w:val="en-US"/>
        </w:rPr>
      </w:pPr>
      <w:ins w:author="Jesús Sánchez-Gómez" w:date="2020-12-29T20:07:00Z" w:id="142">
        <w:r>
          <w:rPr>
            <w:rStyle w:val="Refdenotaalfinal"/>
          </w:rPr>
          <w:endnoteRef/>
        </w:r>
      </w:ins>
      <w:r>
        <w:rPr/>
        <w:t xml:space="preserve"> </w:t>
      </w:r>
      <w:r w:rsidRPr="007561EE">
        <w:rPr>
          <w:rFonts w:ascii="Calibri" w:hAnsi="Calibri" w:cs="Calibri"/>
        </w:rPr>
        <w:t/>
      </w:r>
      <w:r w:rsidRPr="007561EE">
        <w:rPr/>
        <w:t>Zorn, G. (2014). Diameter Network Access Server Application (Issue 7155). RFC Editor. https://doi.org/10.17487/RFC7155</w:t>
      </w:r>
    </w:p>
  </w:endnote>
  <w:endnote w:id="20">
    <w:p w:rsidRPr="007D42DC" w:rsidR="00175E7D" w:rsidRDefault="00175E7D" w14:paraId="45C306A3" w14:textId="470F66D7" w14:noSpellErr="1">
      <w:pPr>
        <w:pStyle w:val="Textonotaalfinal"/>
        <w:rPr>
          <w:lang w:val="es-ES"/>
        </w:rPr>
      </w:pPr>
      <w:ins w:author="Jesús Sánchez-Gómez" w:date="2020-12-29T20:09:00Z" w:id="147">
        <w:r>
          <w:rPr>
            <w:rStyle w:val="Refdenotaalfinal"/>
          </w:rPr>
          <w:endnoteRef/>
        </w:r>
      </w:ins>
      <w:r>
        <w:rPr/>
        <w:t xml:space="preserve"> </w:t>
      </w:r>
      <w:r w:rsidRPr="00175E7D">
        <w:rPr>
          <w:rFonts w:ascii="Calibri" w:hAnsi="Calibri" w:cs="Calibri"/>
        </w:rPr>
        <w:t/>
      </w:r>
      <w:r w:rsidRPr="00175E7D">
        <w:rPr/>
        <w:t xml:space="preserve">Aboba, B., Blunk, L., Vollbrecht, J., &amp; Carlson, J. (2004). Extensible Authentication Protocol (EAP) (H. Levkowetz (ed.)). </w:t>
      </w:r>
      <w:r w:rsidRPr="007D42DC">
        <w:rPr>
          <w:lang w:val="es-ES"/>
        </w:rPr>
        <w:t>https://doi.org/10.17487/rfc3748</w:t>
      </w:r>
    </w:p>
  </w:endnote>
  <w:endnote w:id="21">
    <w:p w:rsidRPr="00175E7D" w:rsidR="00175E7D" w:rsidRDefault="00175E7D" w14:paraId="0672D0C5" w14:textId="0088EDEE" w14:noSpellErr="1">
      <w:pPr>
        <w:pStyle w:val="Textonotaalfinal"/>
      </w:pPr>
      <w:ins w:author="Jesús Sánchez-Gómez" w:date="2020-12-29T20:09:00Z" w:id="151">
        <w:r>
          <w:rPr>
            <w:rStyle w:val="Refdenotaalfinal"/>
          </w:rPr>
          <w:endnoteRef/>
        </w:r>
      </w:ins>
      <w:r w:rsidRPr="00175E7D">
        <w:rPr>
          <w:lang w:val="es-ES"/>
        </w:rPr>
        <w:t xml:space="preserve"> </w:t>
      </w:r>
      <w:r w:rsidRPr="00175E7D">
        <w:rPr>
          <w:rFonts w:ascii="Calibri" w:hAnsi="Calibri" w:cs="Calibri"/>
        </w:rPr>
        <w:t/>
      </w:r>
      <w:r w:rsidRPr="00175E7D">
        <w:rPr>
          <w:lang w:val="es-ES"/>
        </w:rPr>
        <w:t xml:space="preserve">Garcia-Carrillo, D., Marin-Lopez, R., Kandasamy, A., &amp; Pelov, A. (2017). </w:t>
      </w:r>
      <w:r w:rsidRPr="00175E7D">
        <w:rPr/>
        <w:t>A CoAP-Based Network Access Authentication Service for Low-Power Wide Area Networks: LO-CoAP-EAP. Sensors, 17(11), 2646. https://doi.org/10.3390/s17112646</w:t>
      </w:r>
    </w:p>
  </w:endnote>
  <w:endnote w:id="22">
    <w:p w:rsidRPr="008B2958" w:rsidR="008B2958" w:rsidRDefault="008B2958" w14:paraId="52B0A3B9" w14:textId="44D0C9CA" w14:noSpellErr="1">
      <w:pPr>
        <w:pStyle w:val="Textonotaalfinal"/>
        <w:rPr>
          <w:lang w:val="en-US"/>
        </w:rPr>
      </w:pPr>
      <w:ins w:author="Jesús Sánchez-Gómez" w:date="2020-12-29T20:12:00Z" w:id="157">
        <w:r>
          <w:rPr>
            <w:rStyle w:val="Refdenotaalfinal"/>
          </w:rPr>
          <w:endnoteRef/>
        </w:r>
      </w:ins>
      <w:r>
        <w:rPr/>
        <w:t xml:space="preserve"> </w:t>
      </w:r>
      <w:r w:rsidRPr="008B2958">
        <w:rPr>
          <w:rFonts w:ascii="Calibri" w:hAnsi="Calibri" w:cs="Calibri"/>
        </w:rPr>
        <w:t/>
      </w:r>
      <w:r w:rsidRPr="008B2958">
        <w:rPr/>
        <w:t>Shelby, Z., Hartke, K., &amp; Bormann, C. (2014). The Constrained Application Protocol (</w:t>
      </w:r>
      <w:r w:rsidRPr="008B2958">
        <w:rPr/>
        <w:t>CoAP). In Journal of Chemical Information and Modeling. https://doi.org/10.17487/rfc7252</w:t>
      </w:r>
    </w:p>
  </w:endnote>
  <w:endnote w:id="23">
    <w:p w:rsidRPr="006027DC" w:rsidR="006027DC" w:rsidRDefault="006027DC" w14:paraId="75FBDAF5" w14:textId="6923B549" w14:noSpellErr="1">
      <w:pPr>
        <w:pStyle w:val="Textonotaalfinal"/>
        <w:rPr>
          <w:lang w:val="en-US"/>
        </w:rPr>
      </w:pPr>
      <w:ins w:author="Jesús Sánchez-Gómez" w:date="2020-12-29T21:38:00Z" w:id="178">
        <w:r>
          <w:rPr>
            <w:rStyle w:val="Refdenotaalfinal"/>
          </w:rPr>
          <w:endnoteRef/>
        </w:r>
      </w:ins>
      <w:r>
        <w:rPr/>
        <w:t xml:space="preserve"> </w:t>
      </w:r>
      <w:r w:rsidRPr="006027DC">
        <w:rPr>
          <w:rFonts w:ascii="Calibri" w:hAnsi="Calibri" w:cs="Calibri"/>
        </w:rPr>
        <w:t/>
      </w:r>
      <w:r w:rsidRPr="006027DC">
        <w:rPr/>
        <w:t>Farrell, S. (2018). Low-Power Wide Area Network (LPWAN) Overview (Issue 8376). RFC Editor. https://doi.org/10.17487/RFC8376</w:t>
      </w:r>
    </w:p>
  </w:endnote>
  <w:endnote w:id="24">
    <w:p w:rsidR="4C8FC267" w:rsidP="4C8FC267" w:rsidRDefault="4C8FC267" w14:paraId="7DAEA7F1" w14:textId="3DCAC98C">
      <w:pPr>
        <w:pStyle w:val="Textonotaalfinal"/>
      </w:pPr>
      <w:r w:rsidRPr="4C8FC267">
        <w:rPr>
          <w:rStyle w:val="Refdenotaalfinal"/>
        </w:rPr>
        <w:endnoteRef/>
      </w:r>
      <w:r>
        <w:t xml:space="preserve"> https://asvin.readthedocs.io/en/latest/</w:t>
      </w:r>
    </w:p>
  </w:endnote>
  <w:endnote w:id="12077">
    <w:p w:rsidR="320060E5" w:rsidP="320060E5" w:rsidRDefault="320060E5" w14:paraId="5F60802A" w14:textId="43F87CA3">
      <w:pPr>
        <w:pStyle w:val="Textonotaalfinal"/>
        <w:bidi w:val="0"/>
      </w:pPr>
      <w:r w:rsidRPr="320060E5">
        <w:rPr>
          <w:rStyle w:val="Refdenotaalfinal"/>
        </w:rPr>
        <w:endnoteRef/>
      </w:r>
      <w:r w:rsidR="320060E5">
        <w:rP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rsidR="001C7E99" w:rsidP="00F76410" w:rsidRDefault="001C7E99" w14:paraId="4358B268"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7E99" w:rsidP="00672C9E" w:rsidRDefault="001C7E99" w14:paraId="3CC12B14"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rsidR="00F76410" w:rsidP="00C11A1D" w:rsidRDefault="00F76410" w14:paraId="55EE65C7" w14:textId="257C34A2">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06542" w:rsidP="00F76410" w:rsidRDefault="00706542" w14:paraId="40F8CC58" w14:textId="77777777">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rsidR="00F76410" w:rsidP="00C11A1D" w:rsidRDefault="00F76410" w14:paraId="1A31B92C" w14:textId="10B86675">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Pr="006E3D28" w:rsidR="00781EE6" w:rsidP="006E3D28" w:rsidRDefault="006E3D28" w14:paraId="38FF0FF2" w14:textId="5A2A0BC5">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6DCF" w:rsidP="000E2B00" w:rsidRDefault="000C6DCF" w14:paraId="779256E6" w14:textId="77777777">
      <w:r>
        <w:separator/>
      </w:r>
    </w:p>
  </w:footnote>
  <w:footnote w:type="continuationSeparator" w:id="0">
    <w:p w:rsidR="000C6DCF" w:rsidP="000E2B00" w:rsidRDefault="000C6DCF" w14:paraId="1922CB82" w14:textId="77777777">
      <w:r>
        <w:continuationSeparator/>
      </w:r>
    </w:p>
  </w:footnote>
  <w:footnote w:id="1">
    <w:p w:rsidRPr="00C031D0" w:rsidR="00C031D0" w:rsidRDefault="00C031D0" w14:paraId="30BA10F1" w14:textId="04306B36" w14:noSpellErr="1">
      <w:pPr>
        <w:pStyle w:val="Textonotapie"/>
        <w:rPr>
          <w:lang w:val="en-US"/>
        </w:rPr>
      </w:pPr>
      <w:ins w:author="Jesús Sánchez-Gómez" w:date="2020-12-29T20:08:00Z" w:id="47">
        <w:r>
          <w:rPr>
            <w:rStyle w:val="Refdenotaalpie"/>
          </w:rPr>
          <w:footnoteRef/>
        </w:r>
      </w:ins>
      <w:r>
        <w:rPr/>
        <w:t xml:space="preserve"> </w:t>
      </w:r>
      <w:r w:rsidRPr="00C031D0">
        <w:rPr/>
        <w:t>https://www.arrow.com/</w:t>
      </w:r>
    </w:p>
  </w:footnote>
  <w:footnote w:id="2">
    <w:p w:rsidR="4C8FC267" w:rsidP="4C8FC267" w:rsidRDefault="4C8FC267" w14:paraId="08935073" w14:textId="0E7CF5DE">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119A8876">
      <w:rPr/>
      <w:t/>
    </w:r>
    <w:r w:rsidR="66146E86">
      <w:rPr/>
      <w:t/>
    </w:r>
    <w:r w:rsidR="320060E5">
      <w:rPr/>
      <w:t/>
    </w:r>
  </w:p>
  <w:p w:rsidR="001C7E99" w:rsidP="001A44FA" w:rsidRDefault="001C7E99" w14:paraId="3A5C47F9" w14:textId="77777777">
    <w:pPr>
      <w:pStyle w:val="Encabezado"/>
      <w:jc w:val="right"/>
    </w:pPr>
  </w:p>
  <w:p w:rsidR="001C7E99" w:rsidRDefault="001C7E99" w14:paraId="0141F8D2"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119A8876">
      <w:rPr/>
      <w:t/>
    </w:r>
    <w:r w:rsidR="66146E86">
      <w:rPr/>
      <w:t/>
    </w:r>
    <w:r w:rsidR="320060E5">
      <w:rPr/>
      <w:t/>
    </w:r>
  </w:p>
  <w:p w:rsidRPr="00026C4B" w:rsidR="00EE15D2" w:rsidP="001A44FA" w:rsidRDefault="00EE15D2" w14:paraId="64084A05" w14:textId="77777777">
    <w:pPr>
      <w:pStyle w:val="Encabezado"/>
      <w:jc w:val="right"/>
    </w:pPr>
  </w:p>
  <w:p w:rsidR="000E2B00" w:rsidRDefault="000E2B00" w14:paraId="2D0C80C1"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hint="default" w:ascii="Montserrat" w:hAnsi="Montserrat" w:cs="Times New Roman (Headings CS)"/>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2"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5"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6"/>
  </w:num>
  <w:num w:numId="3">
    <w:abstractNumId w:val="5"/>
  </w:num>
  <w:num w:numId="4">
    <w:abstractNumId w:val="15"/>
  </w:num>
  <w:num w:numId="5">
    <w:abstractNumId w:val="15"/>
  </w:num>
  <w:num w:numId="6">
    <w:abstractNumId w:val="6"/>
  </w:num>
  <w:num w:numId="7">
    <w:abstractNumId w:val="0"/>
  </w:num>
  <w:num w:numId="8">
    <w:abstractNumId w:val="6"/>
  </w:num>
  <w:num w:numId="9">
    <w:abstractNumId w:val="10"/>
  </w:num>
  <w:num w:numId="10">
    <w:abstractNumId w:val="1"/>
  </w:num>
  <w:num w:numId="11">
    <w:abstractNumId w:val="1"/>
  </w:num>
  <w:num w:numId="12">
    <w:abstractNumId w:val="11"/>
  </w:num>
  <w:num w:numId="13">
    <w:abstractNumId w:val="1"/>
    <w:lvlOverride w:ilvl="0">
      <w:startOverride w:val="2"/>
    </w:lvlOverride>
    <w:lvlOverride w:ilvl="1">
      <w:startOverride w:val="1"/>
    </w:lvlOverride>
    <w:lvlOverride w:ilvl="2">
      <w:startOverride w:val="1"/>
    </w:lvlOverride>
  </w:num>
  <w:num w:numId="14">
    <w:abstractNumId w:val="12"/>
  </w:num>
  <w:num w:numId="15">
    <w:abstractNumId w:val="13"/>
  </w:num>
  <w:num w:numId="16">
    <w:abstractNumId w:val="8"/>
  </w:num>
  <w:num w:numId="17">
    <w:abstractNumId w:val="2"/>
  </w:num>
  <w:num w:numId="18">
    <w:abstractNumId w:val="16"/>
  </w:num>
  <w:num w:numId="19">
    <w:abstractNumId w:val="4"/>
  </w:num>
  <w:num w:numId="20">
    <w:abstractNumId w:val="3"/>
  </w:num>
  <w:num w:numId="21">
    <w:abstractNumId w:val="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10"/>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803E2"/>
    <w:rsid w:val="00084E1D"/>
    <w:rsid w:val="000B2934"/>
    <w:rsid w:val="000C3B68"/>
    <w:rsid w:val="000C4CCF"/>
    <w:rsid w:val="000C6DCF"/>
    <w:rsid w:val="000C7597"/>
    <w:rsid w:val="000E2B00"/>
    <w:rsid w:val="000F4D30"/>
    <w:rsid w:val="000F6AB5"/>
    <w:rsid w:val="00113CBF"/>
    <w:rsid w:val="00132B8C"/>
    <w:rsid w:val="00133C7B"/>
    <w:rsid w:val="001415F0"/>
    <w:rsid w:val="00162C2A"/>
    <w:rsid w:val="00175E7D"/>
    <w:rsid w:val="0018334C"/>
    <w:rsid w:val="001A44FA"/>
    <w:rsid w:val="001A5D5C"/>
    <w:rsid w:val="001B725A"/>
    <w:rsid w:val="001C7E99"/>
    <w:rsid w:val="001D5E54"/>
    <w:rsid w:val="001E62CC"/>
    <w:rsid w:val="001E7EC4"/>
    <w:rsid w:val="001F5427"/>
    <w:rsid w:val="00224F0A"/>
    <w:rsid w:val="00226044"/>
    <w:rsid w:val="00230A15"/>
    <w:rsid w:val="002446DA"/>
    <w:rsid w:val="00247745"/>
    <w:rsid w:val="0028178D"/>
    <w:rsid w:val="002C0AF0"/>
    <w:rsid w:val="002D5DCA"/>
    <w:rsid w:val="003047A9"/>
    <w:rsid w:val="003110AA"/>
    <w:rsid w:val="00312082"/>
    <w:rsid w:val="00324CF0"/>
    <w:rsid w:val="00325CC9"/>
    <w:rsid w:val="00346590"/>
    <w:rsid w:val="00372F04"/>
    <w:rsid w:val="003739FE"/>
    <w:rsid w:val="003D7B50"/>
    <w:rsid w:val="003E1ADA"/>
    <w:rsid w:val="003F5F40"/>
    <w:rsid w:val="003F6A21"/>
    <w:rsid w:val="00414E77"/>
    <w:rsid w:val="00494B5E"/>
    <w:rsid w:val="004A171E"/>
    <w:rsid w:val="004C11EA"/>
    <w:rsid w:val="00501708"/>
    <w:rsid w:val="00502CE8"/>
    <w:rsid w:val="005212BB"/>
    <w:rsid w:val="005C549A"/>
    <w:rsid w:val="005E14EF"/>
    <w:rsid w:val="00600463"/>
    <w:rsid w:val="006027DC"/>
    <w:rsid w:val="00616AA4"/>
    <w:rsid w:val="00643A49"/>
    <w:rsid w:val="0064796D"/>
    <w:rsid w:val="00656D7A"/>
    <w:rsid w:val="00657DC4"/>
    <w:rsid w:val="006A504B"/>
    <w:rsid w:val="006C03AB"/>
    <w:rsid w:val="006E3D28"/>
    <w:rsid w:val="006F16F0"/>
    <w:rsid w:val="00706542"/>
    <w:rsid w:val="00732F9C"/>
    <w:rsid w:val="007561EE"/>
    <w:rsid w:val="00772B92"/>
    <w:rsid w:val="00781EE6"/>
    <w:rsid w:val="00790399"/>
    <w:rsid w:val="007A7762"/>
    <w:rsid w:val="007B3FD5"/>
    <w:rsid w:val="007D42DC"/>
    <w:rsid w:val="007E70A5"/>
    <w:rsid w:val="007F370B"/>
    <w:rsid w:val="00820B0F"/>
    <w:rsid w:val="00850226"/>
    <w:rsid w:val="00863488"/>
    <w:rsid w:val="008677D7"/>
    <w:rsid w:val="008731DF"/>
    <w:rsid w:val="008B2958"/>
    <w:rsid w:val="008B57B9"/>
    <w:rsid w:val="008B5EEC"/>
    <w:rsid w:val="008E2796"/>
    <w:rsid w:val="008F5BDE"/>
    <w:rsid w:val="00955C03"/>
    <w:rsid w:val="0096712E"/>
    <w:rsid w:val="009B6818"/>
    <w:rsid w:val="00A27D94"/>
    <w:rsid w:val="00A33B8C"/>
    <w:rsid w:val="00A75E6A"/>
    <w:rsid w:val="00A94032"/>
    <w:rsid w:val="00AB2FF5"/>
    <w:rsid w:val="00AD35AC"/>
    <w:rsid w:val="00AD4665"/>
    <w:rsid w:val="00B16ADB"/>
    <w:rsid w:val="00B27288"/>
    <w:rsid w:val="00B54505"/>
    <w:rsid w:val="00BF13E6"/>
    <w:rsid w:val="00C031D0"/>
    <w:rsid w:val="00C03F6D"/>
    <w:rsid w:val="00CD3AF3"/>
    <w:rsid w:val="00CE1D3D"/>
    <w:rsid w:val="00D565FD"/>
    <w:rsid w:val="00D675C8"/>
    <w:rsid w:val="00D8017E"/>
    <w:rsid w:val="00D832A1"/>
    <w:rsid w:val="00DA482E"/>
    <w:rsid w:val="00DD1053"/>
    <w:rsid w:val="00DF7D3E"/>
    <w:rsid w:val="00E1585C"/>
    <w:rsid w:val="00E22BC2"/>
    <w:rsid w:val="00E40580"/>
    <w:rsid w:val="00E40921"/>
    <w:rsid w:val="00E506C3"/>
    <w:rsid w:val="00E81A99"/>
    <w:rsid w:val="00EA4009"/>
    <w:rsid w:val="00EE15D2"/>
    <w:rsid w:val="00EE40D1"/>
    <w:rsid w:val="00EF3E4A"/>
    <w:rsid w:val="00F00230"/>
    <w:rsid w:val="00F06175"/>
    <w:rsid w:val="00F632EC"/>
    <w:rsid w:val="00F76410"/>
    <w:rsid w:val="00F8126C"/>
    <w:rsid w:val="00F85DFC"/>
    <w:rsid w:val="00FD4444"/>
    <w:rsid w:val="00FD60C9"/>
    <w:rsid w:val="119A8876"/>
    <w:rsid w:val="320060E5"/>
    <w:rsid w:val="4C8FC267"/>
    <w:rsid w:val="50843FD9"/>
    <w:rsid w:val="6078CAA3"/>
    <w:rsid w:val="66146E86"/>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color="9C6A3E" w:sz="4" w:space="1"/>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hAnsi="Montserrat" w:eastAsiaTheme="majorEastAsia"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hAnsi="Avenir Book" w:eastAsiaTheme="majorEastAsia" w:cstheme="majorBidi"/>
      <w:color w:val="9C6A3E"/>
      <w:sz w:val="20"/>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506C3"/>
    <w:rPr>
      <w:rFonts w:ascii="Montserrat" w:hAnsi="Montserrat" w:eastAsiaTheme="majorEastAsia" w:cstheme="majorBidi"/>
      <w:iCs w:val="0"/>
      <w:color w:val="9C6A3E"/>
      <w:szCs w:val="24"/>
      <w:lang w:val="en-GB"/>
    </w:rPr>
  </w:style>
  <w:style w:type="character" w:styleId="Ttulo5Car" w:customStyle="1">
    <w:name w:val="Título 5 Car"/>
    <w:basedOn w:val="Fuentedeprrafopredeter"/>
    <w:link w:val="Ttulo5"/>
    <w:uiPriority w:val="9"/>
    <w:rsid w:val="00F85DFC"/>
    <w:rPr>
      <w:rFonts w:ascii="Avenir Book" w:hAnsi="Avenir Book" w:eastAsiaTheme="majorEastAsia" w:cstheme="majorBidi"/>
      <w:iCs w:val="0"/>
      <w:color w:val="9C6A3E"/>
      <w:sz w:val="20"/>
      <w:szCs w:val="22"/>
      <w:lang w:val="en-GB"/>
    </w:rPr>
  </w:style>
  <w:style w:type="character" w:styleId="Ttulo1Car" w:customStyle="1">
    <w:name w:val="Título 1 Car"/>
    <w:basedOn w:val="Fuentedeprrafopredeter"/>
    <w:link w:val="Ttulo1"/>
    <w:uiPriority w:val="9"/>
    <w:rsid w:val="00F85DFC"/>
    <w:rPr>
      <w:rFonts w:ascii="Montserrat" w:hAnsi="Montserrat" w:eastAsiaTheme="majorEastAsia"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tuloCar" w:customStyle="1">
    <w:name w:val="Título Car"/>
    <w:basedOn w:val="Fuentedeprrafopredeter"/>
    <w:link w:val="Ttulo"/>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tuloCar" w:customStyle="1">
    <w:name w:val="Subtítulo Car"/>
    <w:basedOn w:val="Fuentedeprrafopredeter"/>
    <w:link w:val="Subttulo"/>
    <w:uiPriority w:val="11"/>
    <w:rsid w:val="00F85DFC"/>
    <w:rPr>
      <w:rFonts w:ascii="Montserrat" w:hAnsi="Montserrat" w:eastAsiaTheme="majorEastAsia"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styleId="EncabezadoCar" w:customStyle="1">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styleId="PiedepginaCar" w:customStyle="1">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Prrafodelista">
    <w:name w:val="List Paragraph"/>
    <w:basedOn w:val="Normal"/>
    <w:uiPriority w:val="34"/>
    <w:qFormat/>
    <w:rsid w:val="000E2B00"/>
    <w:pPr>
      <w:ind w:left="720"/>
      <w:contextualSpacing/>
    </w:pPr>
  </w:style>
  <w:style w:type="character" w:styleId="Ttulo3Car" w:customStyle="1">
    <w:name w:val="Título 3 Car"/>
    <w:basedOn w:val="Fuentedeprrafopredeter"/>
    <w:link w:val="Ttulo3"/>
    <w:uiPriority w:val="9"/>
    <w:rsid w:val="00F85DFC"/>
    <w:rPr>
      <w:rFonts w:ascii="Montserrat" w:hAnsi="Montserrat" w:eastAsiaTheme="majorEastAsia"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Ttulo4Car" w:customStyle="1">
    <w:name w:val="Título 4 Car"/>
    <w:basedOn w:val="Fuentedeprrafopredeter"/>
    <w:link w:val="Ttulo4"/>
    <w:uiPriority w:val="9"/>
    <w:rsid w:val="00F85DFC"/>
    <w:rPr>
      <w:rFonts w:ascii="Montserrat" w:hAnsi="Montserrat" w:eastAsiaTheme="majorEastAsia"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a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aconcuadrculaclara">
    <w:name w:val="Grid Table Light"/>
    <w:basedOn w:val="Tabla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styleId="Appendix" w:customStyle="1">
    <w:name w:val="Appendix"/>
    <w:basedOn w:val="Ttulo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Ttulo1C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Ttulo1"/>
    <w:autoRedefine/>
    <w:qFormat/>
    <w:rsid w:val="001C7E99"/>
    <w:pPr>
      <w:numPr>
        <w:numId w:val="0"/>
      </w:numPr>
      <w:pBdr>
        <w:bottom w:val="none" w:color="auto" w:sz="0" w:space="0"/>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styleId="TextonotaalfinalCar" w:customStyle="1">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styleId="TextonotapieCar" w:customStyle="1">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styleId="TextocomentarioCar" w:customStyle="1">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styleId="AsuntodelcomentarioCar" w:customStyle="1">
    <w:name w:val="Asunto del comentario Car"/>
    <w:basedOn w:val="TextocomentarioCar"/>
    <w:link w:val="Asuntodelcomentario"/>
    <w:uiPriority w:val="99"/>
    <w:semiHidden/>
    <w:rsid w:val="008B2958"/>
    <w:rPr>
      <w:rFonts w:ascii="Montserrat" w:hAnsi="Montserrat"/>
      <w:b/>
      <w:bCs/>
      <w:iCs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microchip.com/" TargetMode="External" Id="rId13" /><Relationship Type="http://schemas.openxmlformats.org/officeDocument/2006/relationships/footer" Target="footer5.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hyperlink" Target="https://www.hoperf.com/" TargetMode="External" Id="rId12" /><Relationship Type="http://schemas.openxmlformats.org/officeDocument/2006/relationships/header" Target="header4.xml" Id="rId25"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image" Target="media/image5.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semtech.com/" TargetMode="External" Id="rId11" /><Relationship Type="http://schemas.openxmlformats.org/officeDocument/2006/relationships/footer" Target="footer4.xml" Id="rId24" /><Relationship Type="http://schemas.openxmlformats.org/officeDocument/2006/relationships/webSettings" Target="webSettings.xml" Id="rId5" /><Relationship Type="http://schemas.microsoft.com/office/2011/relationships/commentsExtended" Target="commentsExtended.xml" Id="rId15" /><Relationship Type="http://schemas.openxmlformats.org/officeDocument/2006/relationships/footer" Target="footer3.xml" Id="rId23" /><Relationship Type="http://schemas.microsoft.com/office/2011/relationships/people" Target="people.xml" Id="rId28"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22" /><Relationship Type="http://schemas.openxmlformats.org/officeDocument/2006/relationships/fontTable" Target="fontTable.xml" Id="rId27" /><Relationship Type="http://schemas.openxmlformats.org/officeDocument/2006/relationships/glossaryDocument" Target="/word/glossary/document.xml" Id="R6921deb2fde94008" /><Relationship Type="http://schemas.openxmlformats.org/officeDocument/2006/relationships/image" Target="/media/image6.png" Id="R9ca9ebbd2ec74820" /><Relationship Type="http://schemas.openxmlformats.org/officeDocument/2006/relationships/image" Target="/media/image7.png" Id="R26c89240c2eb47a4" /><Relationship Type="http://schemas.openxmlformats.org/officeDocument/2006/relationships/image" Target="/media/image2.jpg" Id="Rb54188e4f41648c1" /><Relationship Type="http://schemas.openxmlformats.org/officeDocument/2006/relationships/image" Target="/media/image8.png" Id="Re6863f61f79f4c0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ace3c6-8048-4a1d-b6f7-c6b09017cc95}"/>
      </w:docPartPr>
      <w:docPartBody>
        <w:p w14:paraId="119A88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NGI_TRUST_Deliverable template_2019_v2.dotx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49</revision>
  <dcterms:created xsi:type="dcterms:W3CDTF">2019-11-21T08:07:00.0000000Z</dcterms:created>
  <dcterms:modified xsi:type="dcterms:W3CDTF">2021-01-04T21:45:24.9805892Z</dcterms:modified>
</coreProperties>
</file>