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color w:val="6B6A66"/>
          <w:sz w:val="20"/>
          <w:szCs w:val="20"/>
        </w:rPr>
        <w:t xml:space="preserve">llm-bench · piloto com a tarefa real</w:t>
      </w:r>
    </w:p>
    <w:p>
      <w:pPr>
        <w:spacing w:after="120"/>
      </w:pPr>
      <w:r>
        <w:rPr>
          <w:b/>
          <w:bCs/>
          <w:color w:val="1B1B1A"/>
          <w:sz w:val="40"/>
          <w:szCs w:val="40"/>
        </w:rPr>
        <w:t xml:space="preserve">Agentes de programação implementando uma API de encurtar URLs</w:t>
      </w:r>
    </w:p>
    <w:p>
      <w:pPr>
        <w:pBdr>
          <w:bottom w:val="single" w:color="2A5F9E" w:sz="6" w:space="8"/>
        </w:pBdr>
        <w:spacing w:after="360"/>
      </w:pPr>
      <w:r>
        <w:rPr>
          <w:color w:val="6B6A66"/>
          <w:sz w:val="22"/>
          <w:szCs w:val="22"/>
        </w:rPr>
        <w:t xml:space="preserve">Relatório metodológico do piloto · 24/09/2026 · Rafael Moura</w:t>
      </w:r>
    </w:p>
    <w:p>
      <w:pPr>
        <w:pStyle w:val="Heading1"/>
      </w:pPr>
      <w:r>
        <w:t xml:space="preserve">1. Resumo</w:t>
      </w:r>
    </w:p>
    <w:p>
      <w:pPr>
        <w:spacing w:after="120" w:line="288"/>
      </w:pPr>
      <w:r>
        <w:t xml:space="preserve">Quatro configurações de agente de programação (modelo + harness) receberam o mesmo enunciado: implementar, sozinhas e em um container isolado, uma API HTTP de encurtar URLs com stack livre. Cada entrega foi congelada e verificada por um avaliador automatizado em um ambiente limpo, contra 35 requisitos do contrato, e teve o tempo de resposta medido sob carga.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As quatro configurações tiveram a entrega aceita, com 35 de 35 requisitos:</w:t>
      </w:r>
      <w:r>
        <w:t xml:space="preserve"> Opus (Claude Code), Sol e Astra (Codex) e Muse (OpenCode).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Tempo de trabalho:</w:t>
      </w:r>
      <w:r>
        <w:t xml:space="preserve"> de 197 s (Opus) a 602 s (Muse), no máximo um terço do prazo adotado para a coleta (1.800 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Custo estimado pelo preço público de API:</w:t>
      </w:r>
      <w:r>
        <w:t xml:space="preserve"> de US$ 0,28 (Sol) a US$ 0,95 (Astra) por tentativa. Nenhuma foi paga por token.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Stack:</w:t>
      </w:r>
      <w:r>
        <w:t xml:space="preserve"> três escolheram Python com a biblioteca padrão e SQLite; o Opus escolheu Go, com um log em arquivo. Nenhuma entrega usou dependência externa.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Desempenho da API:</w:t>
      </w:r>
      <w:r>
        <w:t xml:space="preserve"> o Opus responde em cerca de 0,05 ms e atende de 110 mil a 190 mil requisições por segundo; as entregas em Python ficam entre 1,3 e 1,6 ms e 740 a 1.440 req/s. Detalhes de implementação dentro da mesma stack mudaram a latência do POST em 26 vezes.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É um piloto:</w:t>
      </w:r>
      <w:r>
        <w:t xml:space="preserve"> uma tentativa por configuração, resultados não oficiais. O objetivo principal foi validar o método e o instrumento: o piloto encontrou cinco problemas deles, quatro corrigidos e um documentado.</w:t>
      </w:r>
    </w:p>
    <w:p>
      <w:pPr>
        <w:pStyle w:val="Heading1"/>
      </w:pPr>
      <w:r>
        <w:t xml:space="preserve">2. Objetivo e perguntas (GQM)</w:t>
      </w:r>
    </w:p>
    <w:p>
      <w:pPr>
        <w:spacing w:after="120" w:line="288"/>
      </w:pPr>
      <w:r>
        <w:t xml:space="preserve">O estudo segue o método GQM (Goal–Question–Metric). O objetivo é analisar o processo de desenvolvimento e as entregas de configurações completas de agentes (modelo, harness e skills) na implementação de uma API, para caracterizá-las e compará-las de forma exploratória quanto a correção funcional, robustez, manutenibilidade, eficiência e desempenho da API entregue, do ponto de vista de quem precisa revisar e usar as entregas.</w:t>
      </w:r>
    </w:p>
    <w:p>
      <w:pPr>
        <w:spacing w:after="120" w:line="288"/>
      </w:pPr>
      <w:r>
        <w:t xml:space="preserve">O objeto comparado é a configuração completa: o desenho não isola o efeito do modelo, do harness ou das skills.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Métricas principais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o piloto mostrou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Q1. A entrega é aceitável pelo contrato?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 aceitação (A_i); M2 frequência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de 4 aceitas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Q2. Quais requisitos são atendidos?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M3 = S/N; M4 matriz por requisito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 S em todas; nenhum V ou U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Q3. Robustez em erros e limites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M5 requisitos de robustez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RN01–RN15 e RNF06–RNF09 atendidos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Q4. Executa em ambiente limpo?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M6 build e início; M7 intervenção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Todas sem intervenção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Q5. Que recursos foram necessários?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M8 tempo; M9 custo; M10 intervenção humana; M14 tokens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197–602 s; US$ 0,28–0,95; nenhuma intervenção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Q6. Quanto varia entre tentativas?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M11 dispersão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dados: uma tentativa por configuração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Q7. Qualidade interna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M12 rubrica qualitativa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avaliada no piloto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Q8. Que stack foi escolhida?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M15 perfil da stack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3× Python + SQLite; 1× Go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Q9. Com que tempo a API responde?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M16 latência sob carga fixa</w:t>
            </w:r>
          </w:p>
        </w:tc>
        <w:tc>
          <w:tcPr>
            <w:tcW w:type="dxa" w:w="3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0,04 ms (Go) a 42 ms (POST do Sol)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A aceitação é binária: A_i = 1 somente se os 35 requisitos obrigatórios tiverem resultado S (satisfeito). Cada requisito recebe S, V (violado, com evidência) ou U (sem resultado conclusivo, por exemplo quando uma pré-condição falha). Tempo, tokens, custo, stack e latência não entram na aceitação: são medidas para comparar as configurações.</w:t>
      </w:r>
    </w:p>
    <w:p>
      <w:pPr>
        <w:pStyle w:val="Heading1"/>
      </w:pPr>
      <w:r>
        <w:t xml:space="preserve">3. Tarefa e contrato</w:t>
      </w:r>
    </w:p>
    <w:p>
      <w:pPr>
        <w:spacing w:after="120" w:line="288"/>
      </w:pPr>
      <w:r>
        <w:t xml:space="preserve">A tarefa é uma API de encurtar URLs com cinco operações: GET /health, POST /api/links (criar, com alias e expiração opcionais), GET /{code} (redirecionar com 302 e contar a visita), GET /api/links/{code} (consultar) e DELETE /api/links/{code}. O contrato fixa formatos, códigos de erro (400, 404, 409, 410, 422) e o formato do corpo de erro.</w:t>
      </w:r>
    </w:p>
    <w:p>
      <w:pPr>
        <w:spacing w:after="120" w:line="288"/>
      </w:pPr>
      <w:r>
        <w:t xml:space="preserve">A entrega deve ter build.sh e start.sh, escutar na porta 8080, persistir somente em DATA_DIR, usar BASE_URL nas URLs curtas, funcionar sem rede em execução, preservar os dados após SIGTERM e não perder visitas, códigos ou aliases sob requisições simultâneas.</w:t>
      </w:r>
    </w:p>
    <w:p>
      <w:pPr>
        <w:spacing w:after="120" w:line="288"/>
      </w:pPr>
      <w:r>
        <w:t xml:space="preserve">O contrato tem duas partes. </w:t>
      </w:r>
      <w:r>
        <w:rPr>
          <w:b/>
          <w:bCs/>
        </w:rPr>
        <w:t xml:space="preserve">A Parte A (enunciado) é o único material enviado ao agente.</w:t>
      </w:r>
      <w:r>
        <w:t xml:space="preserve"> A Parte B (catálogo de 35 requisitos obrigatórios e os casos de verificação reservados) nunca sai do computador, para que o agente não possa otimizar contra os testes. Os 35 requisitos se dividem em 11 funcionais (RF), 15 regras de validação e erro (RN) e 9 não funcionais (RNF).</w:t>
      </w:r>
    </w:p>
    <w:p>
      <w:pPr>
        <w:pStyle w:val="Heading1"/>
      </w:pPr>
      <w:r>
        <w:t xml:space="preserve">4. Participantes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2650"/>
        <w:gridCol w:w="1900"/>
        <w:gridCol w:w="2726"/>
      </w:tblGrid>
      <w:tr>
        <w:trPr>
          <w:tblHeader/>
        </w:trPr>
        <w:tc>
          <w:tcPr>
            <w:tcW w:type="dxa" w:w="17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26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Modelo e esforço</w:t>
            </w:r>
          </w:p>
        </w:tc>
        <w:tc>
          <w:tcPr>
            <w:tcW w:type="dxa" w:w="19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Harness</w:t>
            </w:r>
          </w:p>
        </w:tc>
        <w:tc>
          <w:tcPr>
            <w:tcW w:type="dxa" w:w="2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7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Opus</w:t>
            </w:r>
          </w:p>
        </w:tc>
        <w:tc>
          <w:tcPr>
            <w:tcW w:type="dxa" w:w="26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claude-opus-5-5, high</w:t>
            </w:r>
          </w:p>
        </w:tc>
        <w:tc>
          <w:tcPr>
            <w:tcW w:type="dxa" w:w="19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Code 2.1.281</w:t>
            </w:r>
          </w:p>
        </w:tc>
        <w:tc>
          <w:tcPr>
            <w:tcW w:type="dxa" w:w="2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Plano Pro do Claude</w:t>
            </w:r>
          </w:p>
        </w:tc>
      </w:tr>
      <w:tr>
        <w:tc>
          <w:tcPr>
            <w:tcW w:type="dxa" w:w="17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</w:t>
            </w:r>
          </w:p>
        </w:tc>
        <w:tc>
          <w:tcPr>
            <w:tcW w:type="dxa" w:w="26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gpt-6-sol, high</w:t>
            </w:r>
          </w:p>
        </w:tc>
        <w:tc>
          <w:tcPr>
            <w:tcW w:type="dxa" w:w="19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Codex 0.156.1</w:t>
            </w:r>
          </w:p>
        </w:tc>
        <w:tc>
          <w:tcPr>
            <w:tcW w:type="dxa" w:w="2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Assinatura ChatGPT</w:t>
            </w:r>
          </w:p>
        </w:tc>
      </w:tr>
      <w:tr>
        <w:tc>
          <w:tcPr>
            <w:tcW w:type="dxa" w:w="17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Astra</w:t>
            </w:r>
          </w:p>
        </w:tc>
        <w:tc>
          <w:tcPr>
            <w:tcW w:type="dxa" w:w="26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gpt-6-astra, high</w:t>
            </w:r>
          </w:p>
        </w:tc>
        <w:tc>
          <w:tcPr>
            <w:tcW w:type="dxa" w:w="19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Codex 0.156.1</w:t>
            </w:r>
          </w:p>
        </w:tc>
        <w:tc>
          <w:tcPr>
            <w:tcW w:type="dxa" w:w="2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Mesma conta e harness do Sol; incluído após o piloto</w:t>
            </w:r>
          </w:p>
        </w:tc>
      </w:tr>
      <w:tr>
        <w:tc>
          <w:tcPr>
            <w:tcW w:type="dxa" w:w="17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Muse</w:t>
            </w:r>
          </w:p>
        </w:tc>
        <w:tc>
          <w:tcPr>
            <w:tcW w:type="dxa" w:w="26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muse-spark-1.3-contributor-free, xhigh</w:t>
            </w:r>
          </w:p>
        </w:tc>
        <w:tc>
          <w:tcPr>
            <w:tcW w:type="dxa" w:w="19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OpenCode 1.18.32</w:t>
            </w:r>
          </w:p>
        </w:tc>
        <w:tc>
          <w:tcPr>
            <w:tcW w:type="dxa" w:w="2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Rota gratuita; dados podem ser usados para treino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O MiMo-V2.6-Flash Free (OpenCode) foi testado e retirado: nas duas tentativas, o modelo esgotou o limite de 32 mil tokens de saída raciocinando em um único passo, antes de escrever qualquer arquivo. O Gemini já tinha sido descartado no piloto de infraestrutura. Nenhuma configuração usa skills.</w:t>
      </w:r>
    </w:p>
    <w:p>
      <w:pPr>
        <w:pStyle w:val="Heading1"/>
      </w:pPr>
      <w:r>
        <w:t xml:space="preserve">5. Ambiente e stack disponível</w:t>
      </w:r>
    </w:p>
    <w:p>
      <w:pPr>
        <w:spacing w:after="120" w:line="288"/>
      </w:pPr>
      <w:r>
        <w:t xml:space="preserve">Uma única imagem Docker serve para o agente e para o avaliador (Debian bookworm, fixada por digest). As toolchains têm versão e checksum fixos no Dockerfile, e os binários dos harnesses são fixados por hash em um manifesto versionado.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6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Versão disponível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6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3.11, com pip e venv; SQLite 3.40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6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 LTS, com npm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</w:t>
            </w:r>
          </w:p>
        </w:tc>
        <w:tc>
          <w:tcPr>
            <w:tcW w:type="dxa" w:w="6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1.27 (GOTOOLCHAIN=local)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</w:t>
            </w:r>
          </w:p>
        </w:tc>
        <w:tc>
          <w:tcPr>
            <w:tcW w:type="dxa" w:w="6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(Temurin JDK), com Maven 3.9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Compilação nativa</w:t>
            </w:r>
          </w:p>
        </w:tc>
        <w:tc>
          <w:tcPr>
            <w:tcW w:type="dxa" w:w="6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gcc e make (build-essential)</w:t>
            </w:r>
          </w:p>
        </w:tc>
      </w:tr>
      <w:t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Registros de pacotes</w:t>
            </w:r>
          </w:p>
        </w:tc>
        <w:tc>
          <w:tcPr>
            <w:tcW w:type="dxa" w:w="64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PyPI, npm, proxy de módulos Go e Maven Central — só durante desenvolvimento e build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A stack é livre dentro desse ambiente. Em execução, a entrega não tem acesso a rede externa. Nenhuma das quatro entregas usou dependências: todas ficaram na biblioteca padrão da linguagem escolhida.</w:t>
      </w:r>
    </w:p>
    <w:p>
      <w:pPr>
        <w:pStyle w:val="Heading1"/>
      </w:pPr>
      <w:r>
        <w:t xml:space="preserve">6. Isolamento: como evitamos acessos indevidos</w:t>
      </w:r>
    </w:p>
    <w:p>
      <w:pPr>
        <w:spacing w:after="120" w:line="288"/>
      </w:pPr>
      <w:r>
        <w:t xml:space="preserve">O agente roda inteiro dentro de um container novo, criado para cada tentativa e destruído ao final. As barreiras se sobrepõem, e cada tentativa verifica automaticamente as principais antes de começar.</w:t>
      </w:r>
    </w:p>
    <w:p>
      <w:pPr>
        <w:pStyle w:val="Heading2"/>
      </w:pPr>
      <w:r>
        <w:t xml:space="preserve">Container e sistema de arquivos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Raiz do sistema somente leitura, usuário não root (UID 1001), todas as capabilities removidas, no-new-privileges e processo init.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Home, /tmp e /workspace em tmpfs, descartados ao final; o runner verifica que home e workspace começam vazios.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Nada do host é montado: nem o repositório, nem entregas anteriores, nem histórico, nem o socket do Docker. O runner verifica a ausência do home do host e do socket.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Limites fixos de recursos: 4 GiB de memória, 2 CPUs e 512 processos.</w:t>
      </w:r>
    </w:p>
    <w:p>
      <w:pPr>
        <w:pStyle w:val="Heading2"/>
      </w:pPr>
      <w:r>
        <w:t xml:space="preserve">Rede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container fica em uma rede Docker interna, sem rota para fora. A única saída é um proxy que aceita apenas CONNECT na porta 443 para uma lista explícita: o provedor do próprio modelo e os seis registros de pacotes.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Antes de cada tentativa, o runner confirma que o PyPI é alcançável, que um domínio fora da lista (example.com) é bloqueado pelo proxy e que a conexão direta a um IP externo falha. Se algo não confere, a tentativa não começa.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Nenhuma porta é publicada no host. O proxy registra os destinos pedidos (ALLOW/DENY), sem conteúdo, e esse log faz parte das evidências.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piloto, nenhum agente tentou um destino bloqueado. Os únicos bloqueios foram a verificação do próprio runner e endereços de telemetria do Codex.</w:t>
      </w:r>
    </w:p>
    <w:p>
      <w:pPr>
        <w:pStyle w:val="Heading2"/>
      </w:pPr>
      <w:r>
        <w:t xml:space="preserve">Credenciais e material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agente recebe só a credencial do próprio provedor, por stdin, gravada com permissão 0600 no tmpfs. Muse não recebe credencial.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prompt é o preâmbulo mais a Parte A do contrato. O runner recusa enviar o texto se encontrar marcas da Parte B ou valores não definidos, e registra o SHA-256 do contrato, da Parte A e do prompt.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As saídas do agente são gravadas com as credenciais redigidas, e a entrega congelada é verificada para garantir que não contém nenhum valor de credencial.</w:t>
      </w:r>
    </w:p>
    <w:p>
      <w:pPr>
        <w:pStyle w:val="Heading2"/>
      </w:pPr>
      <w:r>
        <w:t xml:space="preserve">Ferramentas do agente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 busca na web, sem subagentes, sem skills e sem servidores MCP. Claude Code: Bash, Read, Write, Edit, Glob e Grep. OpenCode: bash, leitura, edição, busca e lista de tarefas. Codex: execução dentro do container.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 interação humana durante a tentativa: o prompt avisa que ninguém responderá perguntas.</w:t>
      </w:r>
    </w:p>
    <w:p>
      <w:pPr>
        <w:pStyle w:val="Heading2"/>
      </w:pPr>
      <w:r>
        <w:t xml:space="preserve">Avaliação separada da produção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entrega é congelada (tar com hash da árvore) e o container do agente é destruído antes da avaliação.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avaliador roda em containers novos: o build tem rede só para os registros; o servidor roda sem rede, e três sondas confirmam que não há rota externa. Os checks rodam de um container cliente na mesma rede interna.</w:t>
      </w:r>
    </w:p>
    <w:p>
      <w:pPr>
        <w:pStyle w:val="Heading2"/>
      </w:pPr>
      <w:r>
        <w:t xml:space="preserve">O que não foi certificado</w:t>
      </w:r>
    </w:p>
    <w:p>
      <w:pPr>
        <w:spacing w:after="120" w:line="288"/>
      </w:pPr>
      <w:r>
        <w:t xml:space="preserve">Resolução DNS de serviços do host e tentativas deliberadamente adversariais de escapar do container não foram testadas. As medidas acima cobrem um agente que segue o enunciado, não um atacante.</w:t>
      </w:r>
    </w:p>
    <w:p>
      <w:pPr>
        <w:pStyle w:val="Heading1"/>
      </w:pPr>
      <w:r>
        <w:t xml:space="preserve">7. Execução e avaliação</w:t>
      </w:r>
    </w:p>
    <w:p>
      <w:pPr>
        <w:pStyle w:val="Heading2"/>
      </w:pPr>
      <w:r>
        <w:t xml:space="preserve">Runner</w:t>
      </w:r>
    </w:p>
    <w:p>
      <w:pPr>
        <w:spacing w:after="120" w:line="288"/>
      </w:pPr>
      <w:r>
        <w:t xml:space="preserve">Cada tentativa segue o mesmo fluxo: prompt e rede → container do agente → provisionamento e verificações → tentativa com prazo (SIGTERM e depois SIGKILL) → encerramento dos processos → congelamento da entrega → limpeza → avaliação. O resumo de cada tentativa registra configuração e hashes, tempos, tokens informados pelo harness, recursos do container (memória, CPU, disco), chamadas de ferramenta, como o harness terminou e os destinos vistos pelo proxy.</w:t>
      </w:r>
    </w:p>
    <w:p>
      <w:pPr>
        <w:pStyle w:val="Heading2"/>
      </w:pPr>
      <w:r>
        <w:t xml:space="preserve">Avaliador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Executa build.sh (sem prazo; teto operacional de 1 hora) e start.sh, e espera GET /health responder 200 em até 60 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Roda os checks funcionais, de validação, de erro e de concorrência (50 redirecionamentos, 20 criações com o mesmo alias e 50 criações simultâneas).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Durabilidade: SIGTERM e novo início com o mesmo DATA_DIR; depois, restaura todo o resto ao estado pós-build e reinicia de novo, para provar que o estado está só em DATA_DIR.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Um defeito do avaliador nunca vira V: a avaliação fica inconclusiva.</w:t>
      </w:r>
    </w:p>
    <w:p>
      <w:pPr>
        <w:spacing w:after="120" w:line="288"/>
      </w:pPr>
      <w:r>
        <w:t xml:space="preserve">O avaliador foi validado antes do piloto com uma implementação de referência (35 S) e 26 controles: 3 positivos, que devem passar, e 23 versões da referência com defeitos plantados. Todos produziram exatamente os resultados esperados.</w:t>
      </w:r>
    </w:p>
    <w:p>
      <w:pPr>
        <w:pStyle w:val="Heading2"/>
      </w:pPr>
      <w:r>
        <w:t xml:space="preserve">Medição de latência (Q9)</w:t>
      </w:r>
    </w:p>
    <w:p>
      <w:pPr>
        <w:spacing w:after="120" w:line="288"/>
      </w:pPr>
      <w:r>
        <w:t xml:space="preserve">Fora da aceitação. A entrega sobe no mesmo ambiente limpo, com DATA_DIR em disco, servidor e gerador de carga em CPUs separadas. Para GET /{code} e POST /api/links: 500 req/s por 30 s (latência contada do instante agendado) e 32 conexões simultâneas por 10 s (capacidade). Só respostas corretas entram nos percentis, e a soma das visitas deve bater com os redirecionamentos. Cada entrega foi medida três vezes; a mediana e a vazão variaram menos de 2% entre as medições.</w:t>
      </w:r>
    </w:p>
    <w:p>
      <w:r>
        <w:br w:type="page"/>
      </w:r>
    </w:p>
    <w:p>
      <w:pPr>
        <w:pStyle w:val="Heading1"/>
      </w:pPr>
      <w:r>
        <w:t xml:space="preserve">8.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26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Opus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Sol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Astra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Muse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Requisitos (S/35)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Tempo da tentativa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197 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374 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367 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602 s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Chamadas de ferramenta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Tokens gerados (saída + raciocínio)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 mil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 mil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 mil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46 mil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Tokens lidos do cache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140 mil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341 mil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167 mil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1,99 milhão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 estimado (API)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US$ 0,65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US$ 0,28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US$ 0,95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US$ 0,63*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Stack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Go, log em arquivo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Python, SQLite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Python, SQLite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Python, SQLite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/ testes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617 linhas / 10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274 / 3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272 / 14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540 / 0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em carga normal (p50)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0,04 ms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1,32 ms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1,51 ms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1,50 ms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em carga normal (p50)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0,05 ms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42,3 ms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1,62 ms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1,57 ms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Capacidade de GET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192 mil/s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1.440/s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1.260/s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760/s</w:t>
            </w:r>
          </w:p>
        </w:tc>
      </w:tr>
      <w:tr>
        <w:tc>
          <w:tcPr>
            <w:tcW w:type="dxa" w:w="2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p99 com 32 conexões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0,56 ms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530 ms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430 ms</w:t>
            </w:r>
          </w:p>
        </w:tc>
        <w:tc>
          <w:tcPr>
            <w:tcW w:type="dxa" w:w="155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47 ms</w:t>
            </w:r>
          </w:p>
        </w:tc>
      </w:tr>
    </w:tbl>
    <w:p>
      <w:pPr>
        <w:spacing w:after="240" w:before="60"/>
        <w:jc w:val="left"/>
      </w:pPr>
      <w:r>
        <w:rPr>
          <w:i/>
          <w:iCs/>
          <w:color w:val="6B6A66"/>
          <w:sz w:val="18"/>
          <w:szCs w:val="18"/>
        </w:rPr>
        <w:t xml:space="preserve">* Preço do Muse Spark 1.3 pago; a rota usada foi a gratuita. Custos pelo preço público de API consultado em 24/09/2026 (Anthropic, OpenAI, OpenCode Zen); nenhuma tentativa foi paga por token. A estimativa do Opus confere com o custo informado pelo próprio Claude Code (US$ 0,655).</w:t>
      </w:r>
    </w:p>
    <w:p>
      <w:pPr>
        <w:spacing w:after="40" w:before="120"/>
      </w:pPr>
      <w:r>
        <w:drawing>
          <wp:inline distT="0" distB="0" distL="0" distR="0">
            <wp:extent cx="5715000" cy="1857375"/>
            <wp:effectExtent t="0" r="0" b="0" l="0"/>
            <wp:docPr id="1" name="piloto-aceitacao.png" descr="Figura 1. Requisitos satisfeitos por entrega aceita." title="Figura 1. Requisitos satisfeitos por entrega acei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6B6A66"/>
          <w:sz w:val="18"/>
          <w:szCs w:val="18"/>
        </w:rPr>
        <w:t xml:space="preserve">Figura 1. Requisitos satisfeitos por entrega aceita.</w:t>
      </w:r>
    </w:p>
    <w:p>
      <w:pPr>
        <w:spacing w:after="40" w:before="120"/>
      </w:pPr>
      <w:r>
        <w:drawing>
          <wp:inline distT="0" distB="0" distL="0" distR="0">
            <wp:extent cx="5715000" cy="1952625"/>
            <wp:effectExtent t="0" r="0" b="0" l="0"/>
            <wp:docPr id="1" name="piloto-tempo-ferramentas.png" descr="Figura 2. Tempo de trabalho do agente, com o prazo da coleta, e chamadas de ferramenta." title="Figura 2. Tempo de trabalho do agente, com o prazo da coleta, e chamadas de ferram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6B6A66"/>
          <w:sz w:val="18"/>
          <w:szCs w:val="18"/>
        </w:rPr>
        <w:t xml:space="preserve">Figura 2. Tempo de trabalho do agente, com o prazo da coleta, e chamadas de ferramenta.</w:t>
      </w:r>
    </w:p>
    <w:p>
      <w:pPr>
        <w:spacing w:after="40" w:before="120"/>
      </w:pPr>
      <w:r>
        <w:drawing>
          <wp:inline distT="0" distB="0" distL="0" distR="0">
            <wp:extent cx="5715000" cy="1952625"/>
            <wp:effectExtent t="0" r="0" b="0" l="0"/>
            <wp:docPr id="1" name="piloto-tokens.png" descr="Figura 3. Tokens por tentativa, normalizados entre harnesses; cada painel tem sua escala." title="Figura 3. Tokens por tentativa, normalizados entre harnesses; cada painel tem sua esca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6B6A66"/>
          <w:sz w:val="18"/>
          <w:szCs w:val="18"/>
        </w:rPr>
        <w:t xml:space="preserve">Figura 3. Tokens por tentativa, normalizados entre harnesses; cada painel tem sua escala.</w:t>
      </w:r>
    </w:p>
    <w:p>
      <w:pPr>
        <w:spacing w:after="40" w:before="120"/>
      </w:pPr>
      <w:r>
        <w:drawing>
          <wp:inline distT="0" distB="0" distL="0" distR="0">
            <wp:extent cx="5715000" cy="2183130"/>
            <wp:effectExtent t="0" r="0" b="0" l="0"/>
            <wp:docPr id="1" name="piloto-custo-estimado.png" descr="Figura 4. Custo estimado pelo preço público de API (não é o valor pago), dividido em entrada nova, cache lido e saída mais raciocínio." title="Figura 4. Custo estimado pelo preço público de API (não é o valor pago), dividido em entrada nova, cache lido e saída mais raciocín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6B6A66"/>
          <w:sz w:val="18"/>
          <w:szCs w:val="18"/>
        </w:rPr>
        <w:t xml:space="preserve">Figura 4. Custo estimado pelo preço público de API (não é o valor pago), dividido em entrada nova, cache lido e saída mais raciocínio.</w:t>
      </w:r>
    </w:p>
    <w:p>
      <w:pPr>
        <w:spacing w:after="40" w:before="120"/>
      </w:pPr>
      <w:r>
        <w:drawing>
          <wp:inline distT="0" distB="0" distL="0" distR="0">
            <wp:extent cx="5715000" cy="2981325"/>
            <wp:effectExtent t="0" r="0" b="0" l="0"/>
            <wp:docPr id="1" name="piloto-latencia-carga-normal.png" descr="Figura 5. Latência em carga normal (500 req/s, dados em disco): ponto = p50, ponta = p99. Escala logarítmica; a referência do avaliador em cinza." title="Figura 5. Latência em carga normal (500 req/s, dados em disco): ponto = p50, ponta = p99. Escala logarítmica; a referência do avaliador em cinz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6B6A66"/>
          <w:sz w:val="18"/>
          <w:szCs w:val="18"/>
        </w:rPr>
        <w:t xml:space="preserve">Figura 5. Latência em carga normal (500 req/s, dados em disco): ponto = p50, ponta = p99. Escala logarítmica; a referência do avaliador em cinza.</w:t>
      </w:r>
    </w:p>
    <w:p>
      <w:pPr>
        <w:spacing w:after="40" w:before="120"/>
      </w:pPr>
      <w:r>
        <w:drawing>
          <wp:inline distT="0" distB="0" distL="0" distR="0">
            <wp:extent cx="5715000" cy="2838450"/>
            <wp:effectExtent t="0" r="0" b="0" l="0"/>
            <wp:docPr id="1" name="piloto-capacidade.png" descr="Figura 6. Vazão com 32 conexões simultâneas. O Opus atingiu o teto do teste; o valor é um limite inferior." title="Figura 6. Vazão com 32 conexões simultâneas. O Opus atingiu o teto do teste; o valor é um limite inferi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6B6A66"/>
          <w:sz w:val="18"/>
          <w:szCs w:val="18"/>
        </w:rPr>
        <w:t xml:space="preserve">Figura 6. Vazão com 32 conexões simultâneas. O Opus atingiu o teto do teste; o valor é um limite inferior.</w:t>
      </w:r>
    </w:p>
    <w:p>
      <w:pPr>
        <w:spacing w:after="40" w:before="120"/>
      </w:pPr>
      <w:r>
        <w:drawing>
          <wp:inline distT="0" distB="0" distL="0" distR="0">
            <wp:extent cx="5715000" cy="2828925"/>
            <wp:effectExtent t="0" r="0" b="0" l="0"/>
            <wp:docPr id="1" name="piloto-cauda-saturacao.png" descr="Figura 7. Sob saturação: ponto = p99, ponta = pior caso. Escala logarítmica." title="Figura 7. Sob saturação: ponto = p99, ponta = pior caso. Escala logarítm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6B6A66"/>
          <w:sz w:val="18"/>
          <w:szCs w:val="18"/>
        </w:rPr>
        <w:t xml:space="preserve">Figura 7. Sob saturação: ponto = p99, ponta = pior caso. Escala logarítmica.</w:t>
      </w:r>
    </w:p>
    <w:p>
      <w:pPr>
        <w:pStyle w:val="Heading2"/>
      </w:pPr>
      <w:r>
        <w:t xml:space="preserve">Leitura dos resultados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Aceitação não distingue as configurações:</w:t>
      </w:r>
      <w:r>
        <w:t xml:space="preserve"> como esperado para modelos de fronteira, todos passaram. A comparação fica em tempo, tokens, custo, stack, desempenho e, na coleta, na revisão qualitativa.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Processo:</w:t>
      </w:r>
      <w:r>
        <w:t xml:space="preserve"> o Opus foi o mais rápido e com menos releitura de contexto; o Muse fez 45 passos e releu quase 2 milhões de tokens; o Astra gerou menos tokens, mas o preço por token o torna o mais caro.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Stack:</w:t>
      </w:r>
      <w:r>
        <w:t xml:space="preserve"> o Go do Opus responde em centésimos de milissegundo; parte da vantagem vem de não forçar gravação em disco a cada escrita (atende ao contrato, que só exige sobreviver a SIGTERM), enquanto as entregas em Python gravam com fsync a cada operação.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Implementação pesa tanto quanto a stack:</w:t>
      </w:r>
      <w:r>
        <w:t xml:space="preserve"> Sol, Astra e Muse usam a mesma stack e diferem por decisões de HTTP. O Sol mantém a conexão aberta e envia cabeçalhos e corpo separados, o que trava o POST em 41 ms pela interação com a confirmação atrasada do TCP; o Astra fecha a conexão a cada resposta e evita o atraso. Sob saturação, Sol e Astra têm picos de 0,4 a 3 s.</w:t>
      </w:r>
    </w:p>
    <w:p>
      <w:pPr>
        <w:pStyle w:val="Heading1"/>
      </w:pPr>
      <w:r>
        <w:t xml:space="preserve">9. Problemas encontrados e corrigidos</w:t>
      </w:r>
    </w:p>
    <w:p>
      <w:pPr>
        <w:spacing w:after="120" w:line="288"/>
      </w:pPr>
      <w:r>
        <w:t xml:space="preserve">O piloto existia para encontrar falhas do método antes da coleta. Os principais achados: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Efeito</w:t>
            </w:r>
          </w:p>
        </w:tc>
        <w:tc>
          <w:tcPr>
            <w:tcW w:type="dxa" w:w="32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C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Tratamento</w:t>
            </w:r>
          </w:p>
        </w:tc>
      </w:tr>
      <w:tr>
        <w:tc>
          <w:tcPr>
            <w:tcW w:type="dxa" w:w="28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Imagem sem o binário auxiliar do Codex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1ª tentativa do Sol sem ferramenta de execução; entrega vazia</w:t>
            </w:r>
          </w:p>
        </w:tc>
        <w:tc>
          <w:tcPr>
            <w:tcW w:type="dxa" w:w="32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Imagem reconstruída; tentativa repetida e aceita</w:t>
            </w:r>
          </w:p>
        </w:tc>
      </w:tr>
      <w:tr>
        <w:tc>
          <w:tcPr>
            <w:tcW w:type="dxa" w:w="28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Exportação de sessão do OpenCode truncada em 128 KiB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Modelo servido sem registro</w:t>
            </w:r>
          </w:p>
        </w:tc>
        <w:tc>
          <w:tcPr>
            <w:tcW w:type="dxa" w:w="32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Exportação por arquivo; verificada em tentativa real</w:t>
            </w:r>
          </w:p>
        </w:tc>
      </w:tr>
      <w:tr>
        <w:tc>
          <w:tcPr>
            <w:tcW w:type="dxa" w:w="28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Término por limite de saída invisível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Entrega vazia parecia execução normal</w:t>
            </w:r>
          </w:p>
        </w:tc>
        <w:tc>
          <w:tcPr>
            <w:tcW w:type="dxa" w:w="32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Runner registra como o harness terminou e emite avisos</w:t>
            </w:r>
          </w:p>
        </w:tc>
      </w:tr>
      <w:tr>
        <w:tc>
          <w:tcPr>
            <w:tcW w:type="dxa" w:w="28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Binários dos harnesses copiados do host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Claude Code se atualizou sozinho entre builds</w:t>
            </w:r>
          </w:p>
        </w:tc>
        <w:tc>
          <w:tcPr>
            <w:tcW w:type="dxa" w:w="32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Binários fixados por hash; imagem exportada</w:t>
            </w:r>
          </w:p>
        </w:tc>
      </w:tr>
      <w:tr>
        <w:tc>
          <w:tcPr>
            <w:tcW w:type="dxa" w:w="28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Diferenças de paridade entre harnesses</w:t>
            </w:r>
          </w:p>
        </w:tc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OpenCode não usa /tmp; Codex recusa rm -rf</w:t>
            </w:r>
          </w:p>
        </w:tc>
        <w:tc>
          <w:tcPr>
            <w:tcW w:type="dxa" w:w="32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Documentadas, por decisão, sem corrigir</w:t>
            </w:r>
          </w:p>
        </w:tc>
      </w:tr>
    </w:tbl>
    <w:p>
      <w:pPr>
        <w:pStyle w:val="Heading1"/>
      </w:pPr>
      <w:r>
        <w:t xml:space="preserve">10. Limitações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Uma tentativa por configuração:</w:t>
      </w:r>
      <w:r>
        <w:t xml:space="preserve"> não há como medir a variação entre execuções, e uma diferença observada pode ser da execução, não da configuração.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Resultados do piloto não são oficiais:</w:t>
      </w:r>
      <w:r>
        <w:t xml:space="preserve"> o runner mudou durante o piloto, e parte das tentativas usou uma imagem anterior à correção.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Custo é estimativa:</w:t>
      </w:r>
      <w:r>
        <w:t xml:space="preserve"> aplica preços públicos de API aos tokens informados pelos harnesses, que contam de formas diferentes; foi feita uma normalização documentada.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Latência</w:t>
      </w:r>
      <w:r>
        <w:t xml:space="preserve"> mede o mesmo hardware, com cliente e servidor no mesmo host; não inclui rede real. A escrita em disco depende do SSD do host.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Qualidade interna (Q7)</w:t>
      </w:r>
      <w:r>
        <w:t xml:space="preserve"> ainda não foi avaliada: depende da rubrica qualitativa.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Isolamento</w:t>
      </w:r>
      <w:r>
        <w:t xml:space="preserve"> não foi certificado contra tentativas adversariais.</w:t>
      </w:r>
    </w:p>
    <w:p>
      <w:pPr>
        <w:pStyle w:val="Heading1"/>
      </w:pPr>
      <w:r>
        <w:t xml:space="preserve">11. Conclusão</w:t>
      </w:r>
    </w:p>
    <w:p>
      <w:pPr>
        <w:spacing w:after="120" w:line="288"/>
      </w:pPr>
      <w:r>
        <w:t xml:space="preserve">O piloto cumpriu seu papel: o método funciona de ponta a ponta, do envio do enunciado à avaliação automatizada em ambiente limpo e à medição de desempenho, e os quatro participantes da coleta produziram entregas aceitas. As barreiras de isolamento se mantiveram em todas as tentativas, sem nenhum acesso indevido registrado.</w:t>
      </w:r>
    </w:p>
    <w:p>
      <w:pPr>
        <w:spacing w:after="120" w:line="288"/>
      </w:pPr>
      <w:r>
        <w:t xml:space="preserve">Como a aceitação não distingue modelos de fronteira nessa tarefa, o valor do benchmark está nas medidas de processo e produto: o Opus foi o mais rápido e entregou a API de melhor desempenho; o Sol foi o mais barato; o Astra, o mais caro; o Muse, o que mais iterou. As diferenças de desempenho mostram que a stack importa, mas decisões de implementação dentro da mesma stack importam tanto quanto.</w:t>
      </w:r>
    </w:p>
    <w:p>
      <w:pPr>
        <w:spacing w:after="120" w:line="288"/>
      </w:pPr>
      <w:r>
        <w:t xml:space="preserve">Os problemas mais importantes estavam no instrumento, não nos participantes, e foram corrigidos antes da coleta. </w:t>
      </w:r>
      <w:r>
        <w:rPr>
          <w:b/>
          <w:bCs/>
        </w:rPr>
        <w:t xml:space="preserve">Próximos passos:</w:t>
      </w:r>
      <w:r>
        <w:t xml:space="preserve"> fixar os valores ainda indefinidos do contrato, definir a ordem das execuções, congelar os manifestos de configuração e a rubrica qualitativa, e executar a coleta oficial com uma tentativa por configuração.</w:t>
      </w:r>
    </w:p>
    <w:sectPr>
      <w:footerReference w:type="default" r:id="rId7"/>
      <w:pgSz w:w="11906" w:h="16838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A66"/>
        <w:sz w:val="16"/>
        <w:szCs w:val="16"/>
      </w:rPr>
      <w:t xml:space="preserve">Piloto do benchmark de agentes · </w:t>
    </w:r>
    <w:r>
      <w:rPr>
        <w:color w:val="6B6A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1B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A5F9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640a8973a376ed8d00fa4569b0f3825d15ab50.png"/><Relationship Id="rId9" Type="http://schemas.openxmlformats.org/officeDocument/2006/relationships/image" Target="media/ac18b9a12e4b71a3952d88b940f3156ff76d661a.png"/><Relationship Id="rId10" Type="http://schemas.openxmlformats.org/officeDocument/2006/relationships/image" Target="media/855d2bc4fd48cb2337d0025b5f75a36f22a04565.png"/><Relationship Id="rId11" Type="http://schemas.openxmlformats.org/officeDocument/2006/relationships/image" Target="media/dcc37bf4099cf4d2997269a3884455f671a65835.png"/><Relationship Id="rId12" Type="http://schemas.openxmlformats.org/officeDocument/2006/relationships/image" Target="media/0ab08ae6595fd0016165b403f87c2b91d2114326.png"/><Relationship Id="rId13" Type="http://schemas.openxmlformats.org/officeDocument/2006/relationships/image" Target="media/6c4ac0b57b7dba0c3bd0de16d656c118f03234d1.png"/><Relationship Id="rId14" Type="http://schemas.openxmlformats.org/officeDocument/2006/relationships/image" Target="media/2d4c709966d8ff87c02b30340065f44a71868ce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Piloto do benchmark de agentes — relatório metodológico</dc:title>
  <dc:creator>Rafael Moura</dc:creator>
  <cp:lastModifiedBy>Un-named</cp:lastModifiedBy>
  <cp:revision>1</cp:revision>
  <dcterms:created xsi:type="dcterms:W3CDTF">2026-09-24T22:01:57.038Z</dcterms:created>
  <dcterms:modified xsi:type="dcterms:W3CDTF">2026-09-24T22:01:57.038Z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