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Roteiro do professor para as duas aulas com Maven</w:t>
      </w:r>
    </w:p>
    <w:p>
      <w:pPr>
        <w:pStyle w:val="Subtitle"/>
      </w:pPr>
      <w:r>
        <w:t>Jornada B3 de Arquitetura Orientada a Eventos</w:t>
      </w:r>
    </w:p>
    <w:p>
      <w:r>
        <w:t xml:space="preserve">Conduza as aulas com Java 25, Maven e Clean Architecture em quatro camadas. Consulte este roteiro na branch </w:t>
      </w:r>
      <w:r>
        <w:rPr>
          <w:rFonts w:ascii="Courier New" w:hAnsi="Courier New"/>
          <w:sz w:val="19"/>
        </w:rPr>
        <w:t>professor</w:t>
      </w:r>
      <w:r>
        <w:t xml:space="preserve"> e execute os comandos em outra cópia do laboratório, clonada do bundle atualizado, nas branches </w:t>
      </w:r>
      <w:r>
        <w:rPr>
          <w:rFonts w:ascii="Courier New" w:hAnsi="Courier New"/>
          <w:sz w:val="19"/>
        </w:rPr>
        <w:t>aula-1</w:t>
      </w:r>
      <w:r>
        <w:t xml:space="preserve"> e </w:t>
      </w:r>
      <w:r>
        <w:rPr>
          <w:rFonts w:ascii="Courier New" w:hAnsi="Courier New"/>
          <w:sz w:val="19"/>
        </w:rPr>
        <w:t>aula-2</w:t>
      </w:r>
      <w:r>
        <w:t>. Faça o primeiro download e build antes do encontro.</w:t>
      </w:r>
    </w:p>
    <w:p>
      <w:pPr>
        <w:pStyle w:val="Heading2"/>
      </w:pPr>
      <w:r>
        <w:t>Preparação da turma e do professor</w:t>
      </w:r>
    </w:p>
    <w:p>
      <w:r>
        <w:t xml:space="preserve">Quem já tinha o projeto deve salvar os exercícios fora da pasta antiga, encerrar seus containers com </w:t>
      </w:r>
      <w:r>
        <w:rPr>
          <w:rFonts w:ascii="Courier New" w:hAnsi="Courier New"/>
          <w:sz w:val="19"/>
        </w:rPr>
        <w:t>podman compose --profile contratos down</w:t>
      </w:r>
      <w:r>
        <w:t xml:space="preserve"> e renomear a pasta antiga. Baixe o ZIP novo, extraia em uma pasta nova e faça um novo clone. Retome apenas os arquivos dos exercícios necessários, sem copiar </w:t>
      </w:r>
      <w:r>
        <w:rPr>
          <w:rFonts w:ascii="Courier New" w:hAnsi="Courier New"/>
          <w:sz w:val="19"/>
        </w:rPr>
        <w:t>.git</w:t>
      </w:r>
      <w:r>
        <w:t xml:space="preserve">, usar </w:t>
      </w:r>
      <w:r>
        <w:rPr>
          <w:rFonts w:ascii="Courier New" w:hAnsi="Courier New"/>
          <w:sz w:val="19"/>
        </w:rPr>
        <w:t>git pull</w:t>
      </w:r>
      <w:r>
        <w:t xml:space="preserve"> na cópia antiga ou mesclar o histórico anterior.</w:t>
      </w:r>
    </w:p>
    <w:p>
      <w:r/>
      <w:hyperlink r:id="rId9">
        <w:r>
          <w:rPr>
            <w:color w:val="0563C1"/>
            <w:u w:val="single"/>
          </w:rPr>
          <w:t>Baixar o ZIP atualizado das aulas</w:t>
        </w:r>
      </w:hyperlink>
      <w:r/>
    </w:p>
    <w:p>
      <w:r>
        <w:t xml:space="preserve">A mensagem para repassar à turma é </w:t>
      </w:r>
      <w:r>
        <w:rPr>
          <w:rFonts w:ascii="Courier New" w:hAnsi="Courier New"/>
          <w:sz w:val="19"/>
        </w:rPr>
        <w:t>Mensagem_Alunos_Preparacao_Aula_1.docx</w:t>
      </w:r>
      <w:r>
        <w:t xml:space="preserve">, dentro do ZIP. Na pasta extraída </w:t>
      </w:r>
      <w:r>
        <w:rPr>
          <w:rFonts w:ascii="Courier New" w:hAnsi="Courier New"/>
          <w:sz w:val="19"/>
        </w:rPr>
        <w:t>Entrega_EDA_Alunos</w:t>
      </w:r>
      <w:r>
        <w:t xml:space="preserve">, o preparador faz o clone e verifica a aula 1. Deixe livre o destino </w:t>
      </w:r>
      <w:r>
        <w:rPr>
          <w:rFonts w:ascii="Courier New" w:hAnsi="Courier New"/>
          <w:sz w:val="19"/>
        </w:rPr>
        <w:t>JornadaB3/laboratorios-eda</w:t>
      </w:r>
      <w:r>
        <w:t xml:space="preserve"> na pasta pessoal.</w:t>
      </w:r>
    </w:p>
    <w:p>
      <w:r/>
      <w:r>
        <w:rPr>
          <w:b/>
        </w:rPr>
        <w:t>Windows no PowerShell:</w:t>
      </w:r>
      <w:r/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powershell.exe -NoProfile -ExecutionPolicy Bypass `</w:t>
        <w:br/>
        <w:t xml:space="preserve">  -File .\preparar-windows.ps1</w:t>
      </w:r>
    </w:p>
    <w:p>
      <w:r/>
      <w:r>
        <w:rPr>
          <w:b/>
        </w:rPr>
        <w:t>Mac no Terminal:</w:t>
      </w:r>
      <w:r/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bash ./preparar-mac.sh</w:t>
      </w:r>
    </w:p>
    <w:p>
      <w:r>
        <w:t xml:space="preserve">Aguarde </w:t>
      </w:r>
      <w:r>
        <w:rPr>
          <w:b/>
        </w:rPr>
        <w:t>PRONTO</w:t>
      </w:r>
      <w:r>
        <w:t xml:space="preserve">. Se o Windows pedir administrador ou reinício, siga a solicitação e repita o comando na mesma pasta. Os preparadores atendem ao fluxo em containers; </w:t>
      </w:r>
      <w:r>
        <w:rPr>
          <w:b/>
        </w:rPr>
        <w:t>não instalam JDK e Maven no host</w:t>
      </w:r>
      <w:r>
        <w:t xml:space="preserve">. Para conduzir pelo Maven no computador, prepare também </w:t>
      </w:r>
      <w:r>
        <w:rPr>
          <w:b/>
        </w:rPr>
        <w:t>JDK 25 e Maven 3.9</w:t>
      </w:r>
      <w:r>
        <w:t xml:space="preserve"> e confira: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java -version</w:t>
        <w:br/>
        <w:t>mvn -version</w:t>
      </w:r>
    </w:p>
    <w:p>
      <w:r>
        <w:t xml:space="preserve">O Maven deve indicar Java 25. Confirme Podman e Compose funcionando. Nas páginas seguintes, comandos são executados na raiz do projeto, onde estão </w:t>
      </w:r>
      <w:r>
        <w:rPr>
          <w:rFonts w:ascii="Courier New" w:hAnsi="Courier New"/>
          <w:sz w:val="19"/>
        </w:rPr>
        <w:t>pom.xml</w:t>
      </w:r>
      <w:r>
        <w:t xml:space="preserve"> e </w:t>
      </w:r>
      <w:r>
        <w:rPr>
          <w:rFonts w:ascii="Courier New" w:hAnsi="Courier New"/>
          <w:sz w:val="19"/>
        </w:rPr>
        <w:t>compose.yaml</w:t>
      </w:r>
      <w:r>
        <w:t xml:space="preserve">. No Windows, use </w:t>
      </w:r>
      <w:r>
        <w:rPr>
          <w:rFonts w:ascii="Courier New" w:hAnsi="Courier New"/>
          <w:sz w:val="19"/>
        </w:rPr>
        <w:t>python</w:t>
      </w:r>
      <w:r>
        <w:t xml:space="preserve"> no lugar de </w:t>
      </w:r>
      <w:r>
        <w:rPr>
          <w:rFonts w:ascii="Courier New" w:hAnsi="Courier New"/>
          <w:sz w:val="19"/>
        </w:rPr>
        <w:t>python3</w:t>
      </w:r>
      <w:r>
        <w:t xml:space="preserve"> se esse for o comando disponível para Python 3.10 ou superior.</w:t>
      </w:r>
    </w:p>
    <w:p>
      <w:pPr>
        <w:pStyle w:val="Heading2"/>
      </w:pPr>
      <w:r>
        <w:t>Apresente as quatro camadas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2"/>
        <w:gridCol w:w="3969"/>
        <w:gridCol w:w="4450"/>
      </w:tblGrid>
      <w:tr>
        <w:trPr>
          <w:cantSplit/>
          <w:tblHeader/>
        </w:trPr>
        <w:tc>
          <w:tcPr>
            <w:tcW w:type="dxa" w:w="13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sz w:val="18"/>
              </w:rPr>
              <w:t>Camada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sz w:val="18"/>
              </w:rPr>
              <w:t>Papel na aula</w:t>
            </w:r>
          </w:p>
        </w:tc>
        <w:tc>
          <w:tcPr>
            <w:tcW w:type="dxa" w:w="44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sz w:val="18"/>
              </w:rPr>
              <w:t>O que ler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domain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Entidades, casos de uso e portas sem Spring</w:t>
            </w:r>
          </w:p>
        </w:tc>
        <w:tc>
          <w:tcPr>
            <w:tcW w:type="dxa" w:w="44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ordens-domain, domain/usecase e domain/port/out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controller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Receber HTTP, mensagens e agendamentos</w:t>
            </w:r>
          </w:p>
        </w:tc>
        <w:tc>
          <w:tcPr>
            <w:tcW w:type="dxa" w:w="44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controller/http, messaging e scheduling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presenter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Preparar respostas HTTP e contratos externos</w:t>
            </w:r>
          </w:p>
        </w:tc>
        <w:tc>
          <w:tcPr>
            <w:tcW w:type="dxa" w:w="44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Presenters e presenter/contract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infra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Implementar portas e compor os objetos</w:t>
            </w:r>
          </w:p>
        </w:tc>
        <w:tc>
          <w:tcPr>
            <w:tcW w:type="dxa" w:w="44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sz w:val="18"/>
              </w:rPr>
              <w:t>JDBC, brokers, transações e infra/config</w:t>
            </w:r>
          </w:p>
        </w:tc>
      </w:tr>
    </w:tbl>
    <w:p>
      <w:pPr>
        <w:spacing w:before="120"/>
      </w:pPr>
      <w:r>
        <w:t xml:space="preserve">Explique a execução: entrada → controller → caso de uso → porta → infra. Na resposta HTTP: resultado interno → presenter → controller → cliente. A dependência do código aponta para o domínio; o domínio não conhece suas implementações de infra. </w:t>
      </w:r>
      <w:r>
        <w:rPr>
          <w:rFonts w:ascii="Courier New" w:hAnsi="Courier New"/>
          <w:sz w:val="19"/>
        </w:rPr>
        <w:t>UseCaseConfiguration</w:t>
      </w:r>
      <w:r>
        <w:t xml:space="preserve"> liga tudo por construtores. Nos fluxos assíncronos, o broker ou o agendador inicia outra execução.</w:t>
      </w:r>
    </w:p>
    <w:p>
      <w:pPr>
        <w:pStyle w:val="Heading2"/>
      </w:pPr>
      <w:r>
        <w:t>Leitura de apoio</w:t>
      </w:r>
    </w:p>
    <w:p>
      <w:r>
        <w:t xml:space="preserve">- </w:t>
      </w:r>
      <w:hyperlink r:id="rId10">
        <w:r>
          <w:rPr>
            <w:color w:val="0563C1"/>
            <w:u w:val="single"/>
          </w:rPr>
          <w:t>Arquitetura das quatro camadas</w:t>
        </w:r>
      </w:hyperlink>
      <w:r>
        <w:t>.</w:t>
      </w:r>
    </w:p>
    <w:p>
      <w:r>
        <w:t xml:space="preserve">- </w:t>
      </w:r>
      <w:hyperlink r:id="rId11">
        <w:r>
          <w:rPr>
            <w:color w:val="0563C1"/>
            <w:u w:val="single"/>
          </w:rPr>
          <w:t>Catálogo completo de classes e chamadas</w:t>
        </w:r>
      </w:hyperlink>
      <w:r>
        <w:t>.</w:t>
      </w:r>
    </w:p>
    <w:p>
      <w:r>
        <w:t xml:space="preserve">- </w:t>
      </w:r>
      <w:hyperlink r:id="rId12">
        <w:r>
          <w:rPr>
            <w:color w:val="0563C1"/>
            <w:u w:val="single"/>
          </w:rPr>
          <w:t>Gabaritos e critérios de avaliação</w:t>
        </w:r>
      </w:hyperlink>
      <w:r>
        <w:t>.</w:t>
      </w:r>
    </w:p>
    <w:p>
      <w:r>
        <w:t xml:space="preserve">- </w:t>
      </w:r>
      <w:hyperlink r:id="rId13">
        <w:r>
          <w:rPr>
            <w:color w:val="0563C1"/>
            <w:u w:val="single"/>
          </w:rPr>
          <w:t>Evidências e limites da validação</w:t>
        </w:r>
      </w:hyperlink>
      <w:r>
        <w:t>.</w:t>
      </w:r>
    </w:p>
    <w:p>
      <w:r>
        <w:t xml:space="preserve">- </w:t>
      </w:r>
      <w:hyperlink r:id="rId14">
        <w:r>
          <w:rPr>
            <w:color w:val="0563C1"/>
            <w:u w:val="single"/>
          </w:rPr>
          <w:t>Versão deste roteiro em Word</w:t>
        </w:r>
      </w:hyperlink>
      <w:r>
        <w:t>.</w:t>
      </w:r>
    </w:p>
    <w:p>
      <w:r>
        <w:br w:type="page"/>
      </w:r>
    </w:p>
    <w:p>
      <w:pPr>
        <w:pStyle w:val="Heading2"/>
      </w:pPr>
      <w:r>
        <w:t>Aula 1 com Maven</w:t>
      </w:r>
    </w:p>
    <w:p>
      <w:r/>
      <w:r>
        <w:rPr>
          <w:b/>
        </w:rPr>
        <w:t>Objetivo:</w:t>
      </w:r>
      <w:r>
        <w:t xml:space="preserve"> receber um comando HTTP, enfileirar no RabbitMQ e publicar um evento Kafka observado por Risco e Auditoria. Divida os três blocos entre vocabulário e domínio, leitura do fluxo e execução com exercícios; desconte os intervalos do tempo disponível.</w:t>
      </w:r>
    </w:p>
    <w:p>
      <w:pPr>
        <w:pStyle w:val="Heading2"/>
      </w:pPr>
      <w:r>
        <w:t>Iniciar e testar</w:t>
      </w:r>
    </w:p>
    <w:p>
      <w:r>
        <w:t>Na cópia nova do laboratório, depois de salvar alterações e com o diretório de trabalho limpo: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git status</w:t>
        <w:br/>
        <w:t>git switch aula-1</w:t>
        <w:br/>
        <w:t>podman compose stop aula1</w:t>
        <w:br/>
        <w:t>podman compose up -d rabbitmq kafka</w:t>
        <w:br/>
        <w:t>podman compose ps</w:t>
        <w:br/>
        <w:t>mvn clean verify</w:t>
        <w:br/>
        <w:t>mvn -pl aula1 -am install -DskipTests</w:t>
        <w:br/>
        <w:t>mvn -pl aula1 spring-boot:run</w:t>
      </w:r>
    </w:p>
    <w:p>
      <w:r>
        <w:t xml:space="preserve">Espere RabbitMQ e Kafka saudáveis antes de iniciar a API. </w:t>
      </w:r>
      <w:r>
        <w:rPr>
          <w:b/>
        </w:rPr>
        <w:t>Esperado:</w:t>
      </w:r>
      <w:r>
        <w:t xml:space="preserve"> 11 testes em </w:t>
      </w:r>
      <w:r>
        <w:rPr>
          <w:rFonts w:ascii="Courier New" w:hAnsi="Courier New"/>
          <w:sz w:val="19"/>
        </w:rPr>
        <w:t>verify</w:t>
      </w:r>
      <w:r>
        <w:t xml:space="preserve"> e aplicação em </w:t>
      </w:r>
      <w:r>
        <w:rPr>
          <w:rFonts w:ascii="Courier New" w:hAnsi="Courier New"/>
          <w:sz w:val="19"/>
        </w:rPr>
        <w:t>http://localhost:8080</w:t>
      </w:r>
      <w:r>
        <w:t xml:space="preserve">. O </w:t>
      </w:r>
      <w:r>
        <w:rPr>
          <w:rFonts w:ascii="Courier New" w:hAnsi="Courier New"/>
          <w:sz w:val="19"/>
        </w:rPr>
        <w:t>install</w:t>
      </w:r>
      <w:r>
        <w:t xml:space="preserve"> prepara o domínio compartilhado no repositório Maven local; só pule os testes nessa etapa porque </w:t>
      </w:r>
      <w:r>
        <w:rPr>
          <w:rFonts w:ascii="Courier New" w:hAnsi="Courier New"/>
          <w:sz w:val="19"/>
        </w:rPr>
        <w:t>verify</w:t>
      </w:r>
      <w:r>
        <w:t xml:space="preserve"> já os executou. Deixe o terminal do Maven aberto.</w:t>
      </w:r>
    </w:p>
    <w:p>
      <w:r>
        <w:t>Em outro terminal, na mesma raiz: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python3 scripts/smoke.py --aula 1</w:t>
      </w:r>
    </w:p>
    <w:p>
      <w:r/>
      <w:r>
        <w:rPr>
          <w:b/>
        </w:rPr>
        <w:t>Esperado:</w:t>
      </w:r>
      <w:r>
        <w:t xml:space="preserve"> HTTP 202 para comando válido e 400 para entrada inválida. Confirme no terminal Maven os registros de Risco e Auditoria. HTTP 202 confirma o enfileiramento, e o processamento pelo worker acontece depois. O painel RabbitMQ está em </w:t>
      </w:r>
      <w:r>
        <w:rPr>
          <w:rFonts w:ascii="Courier New" w:hAnsi="Courier New"/>
          <w:sz w:val="19"/>
        </w:rPr>
        <w:t>http://localhost:15673</w:t>
      </w:r>
      <w:r>
        <w:t xml:space="preserve">, com </w:t>
      </w:r>
      <w:r>
        <w:rPr>
          <w:rFonts w:ascii="Courier New" w:hAnsi="Courier New"/>
          <w:sz w:val="19"/>
        </w:rPr>
        <w:t>aluno</w:t>
      </w:r>
      <w:r>
        <w:t xml:space="preserve"> e </w:t>
      </w:r>
      <w:r>
        <w:rPr>
          <w:rFonts w:ascii="Courier New" w:hAnsi="Courier New"/>
          <w:sz w:val="19"/>
        </w:rPr>
        <w:t>aluno-local</w:t>
      </w:r>
      <w:r>
        <w:t>.</w:t>
      </w:r>
    </w:p>
    <w:p>
      <w:pPr>
        <w:pStyle w:val="Heading2"/>
      </w:pPr>
      <w:r>
        <w:t>Sequência de leitura das classes</w:t>
      </w:r>
    </w:p>
    <w:p>
      <w:r>
        <w:t xml:space="preserve">1. </w:t>
      </w:r>
      <w:r>
        <w:rPr>
          <w:b/>
        </w:rPr>
        <w:t>Domínio compartilhado:</w:t>
      </w:r>
      <w:r>
        <w:t xml:space="preserve"> </w:t>
      </w:r>
      <w:r>
        <w:rPr>
          <w:rFonts w:ascii="Courier New" w:hAnsi="Courier New"/>
          <w:sz w:val="19"/>
        </w:rPr>
        <w:t>Order</w:t>
      </w:r>
      <w:r>
        <w:t xml:space="preserve"> protege as invariantes e </w:t>
      </w:r>
      <w:r>
        <w:rPr>
          <w:rFonts w:ascii="Courier New" w:hAnsi="Courier New"/>
          <w:sz w:val="19"/>
        </w:rPr>
        <w:t>OrderAccepted</w:t>
      </w:r>
      <w:r>
        <w:t xml:space="preserve"> representa o fato aceito. Mostre que os dois não conhecem HTTP, Spring ou brokers.</w:t>
      </w:r>
    </w:p>
    <w:p>
      <w:r>
        <w:t xml:space="preserve">2. </w:t>
      </w:r>
      <w:r>
        <w:rPr>
          <w:b/>
        </w:rPr>
        <w:t>Caso de uso e porta:</w:t>
      </w:r>
      <w:r>
        <w:t xml:space="preserve"> </w:t>
      </w:r>
      <w:r>
        <w:rPr>
          <w:rFonts w:ascii="Courier New" w:hAnsi="Courier New"/>
          <w:sz w:val="19"/>
        </w:rPr>
        <w:t>SubmitOrderUseCase</w:t>
      </w:r>
      <w:r>
        <w:t xml:space="preserve"> cria a ordem e chama </w:t>
      </w:r>
      <w:r>
        <w:rPr>
          <w:rFonts w:ascii="Courier New" w:hAnsi="Courier New"/>
          <w:sz w:val="19"/>
        </w:rPr>
        <w:t>OrderCommandPublisher</w:t>
      </w:r>
      <w:r>
        <w:t>. A implementação concreta é fornecida por infra, sem mudar o caso de uso.</w:t>
      </w:r>
    </w:p>
    <w:p>
      <w:r>
        <w:t xml:space="preserve">3. </w:t>
      </w:r>
      <w:r>
        <w:rPr>
          <w:b/>
        </w:rPr>
        <w:t>Entrada e saída HTTP:</w:t>
      </w:r>
      <w:r>
        <w:t xml:space="preserve"> </w:t>
      </w:r>
      <w:r>
        <w:rPr>
          <w:rFonts w:ascii="Courier New" w:hAnsi="Courier New"/>
          <w:sz w:val="19"/>
        </w:rPr>
        <w:t>OrderController.create</w:t>
      </w:r>
      <w:r>
        <w:t xml:space="preserve"> valida a requisição, chama o caso de uso e entrega o ID ao </w:t>
      </w:r>
      <w:r>
        <w:rPr>
          <w:rFonts w:ascii="Courier New" w:hAnsi="Courier New"/>
          <w:sz w:val="19"/>
        </w:rPr>
        <w:t>OrderPresenter.accepted</w:t>
      </w:r>
      <w:r>
        <w:t xml:space="preserve">. O presenter monta </w:t>
      </w:r>
      <w:r>
        <w:rPr>
          <w:rFonts w:ascii="Courier New" w:hAnsi="Courier New"/>
          <w:sz w:val="19"/>
        </w:rPr>
        <w:t>AcceptedOrderResponse</w:t>
      </w:r>
      <w:r>
        <w:t xml:space="preserve"> para HTTP 202.</w:t>
      </w:r>
    </w:p>
    <w:p>
      <w:r>
        <w:t xml:space="preserve">4. </w:t>
      </w:r>
      <w:r>
        <w:rPr>
          <w:b/>
        </w:rPr>
        <w:t>Enfileiramento:</w:t>
      </w:r>
      <w:r>
        <w:t xml:space="preserve"> </w:t>
      </w:r>
      <w:r>
        <w:rPr>
          <w:rFonts w:ascii="Courier New" w:hAnsi="Courier New"/>
          <w:sz w:val="19"/>
        </w:rPr>
        <w:t>RabbitOrderCommandPublisher</w:t>
      </w:r>
      <w:r>
        <w:t xml:space="preserve"> converte com </w:t>
      </w:r>
      <w:r>
        <w:rPr>
          <w:rFonts w:ascii="Courier New" w:hAnsi="Courier New"/>
          <w:sz w:val="19"/>
        </w:rPr>
        <w:t>OrderCommand</w:t>
      </w:r>
      <w:r>
        <w:t>, serializa e aguarda a confirmação do RabbitMQ. Mostre o limite entre contrato externo e entidade.</w:t>
      </w:r>
    </w:p>
    <w:p>
      <w:r>
        <w:t xml:space="preserve">5. </w:t>
      </w:r>
      <w:r>
        <w:rPr>
          <w:b/>
        </w:rPr>
        <w:t>Processamento assíncrono:</w:t>
      </w:r>
      <w:r>
        <w:t xml:space="preserve"> </w:t>
      </w:r>
      <w:r>
        <w:rPr>
          <w:rFonts w:ascii="Courier New" w:hAnsi="Courier New"/>
          <w:sz w:val="19"/>
        </w:rPr>
        <w:t>OrderWorker</w:t>
      </w:r>
      <w:r>
        <w:t xml:space="preserve"> converte o comando e chama </w:t>
      </w:r>
      <w:r>
        <w:rPr>
          <w:rFonts w:ascii="Courier New" w:hAnsi="Courier New"/>
          <w:sz w:val="19"/>
        </w:rPr>
        <w:t>AcceptOrderUseCase</w:t>
      </w:r>
      <w:r>
        <w:t xml:space="preserve">; este usa </w:t>
      </w:r>
      <w:r>
        <w:rPr>
          <w:rFonts w:ascii="Courier New" w:hAnsi="Courier New"/>
          <w:sz w:val="19"/>
        </w:rPr>
        <w:t>OrderEventPublisher</w:t>
      </w:r>
      <w:r>
        <w:t xml:space="preserve">, implementada por </w:t>
      </w:r>
      <w:r>
        <w:rPr>
          <w:rFonts w:ascii="Courier New" w:hAnsi="Courier New"/>
          <w:sz w:val="19"/>
        </w:rPr>
        <w:t>KafkaOrderEventPublisher</w:t>
      </w:r>
      <w:r>
        <w:t xml:space="preserve">. </w:t>
      </w:r>
      <w:r>
        <w:rPr>
          <w:rFonts w:ascii="Courier New" w:hAnsi="Courier New"/>
          <w:sz w:val="19"/>
        </w:rPr>
        <w:t>AcceptedEventMessage</w:t>
      </w:r>
      <w:r>
        <w:t xml:space="preserve"> prepara o formato externo. </w:t>
      </w:r>
      <w:r>
        <w:rPr>
          <w:rFonts w:ascii="Courier New" w:hAnsi="Courier New"/>
          <w:sz w:val="19"/>
        </w:rPr>
        <w:t>EventSubscribers</w:t>
      </w:r>
      <w:r>
        <w:t xml:space="preserve"> demonstra os dois grupos Kafka independentes.</w:t>
      </w:r>
    </w:p>
    <w:p>
      <w:r>
        <w:t xml:space="preserve">6. </w:t>
      </w:r>
      <w:r>
        <w:rPr>
          <w:b/>
        </w:rPr>
        <w:t>Composição e proteção:</w:t>
      </w:r>
      <w:r>
        <w:t xml:space="preserve"> </w:t>
      </w:r>
      <w:r>
        <w:rPr>
          <w:rFonts w:ascii="Courier New" w:hAnsi="Courier New"/>
          <w:sz w:val="19"/>
        </w:rPr>
        <w:t>Topology</w:t>
      </w:r>
      <w:r>
        <w:t xml:space="preserve"> cria fila/tópico e </w:t>
      </w:r>
      <w:r>
        <w:rPr>
          <w:rFonts w:ascii="Courier New" w:hAnsi="Courier New"/>
          <w:sz w:val="19"/>
        </w:rPr>
        <w:t>UseCaseConfiguration</w:t>
      </w:r>
      <w:r>
        <w:t xml:space="preserve"> injeta portas e presenter. Termine com </w:t>
      </w:r>
      <w:r>
        <w:rPr>
          <w:rFonts w:ascii="Courier New" w:hAnsi="Courier New"/>
          <w:sz w:val="19"/>
        </w:rPr>
        <w:t>OrderUseCasesTest</w:t>
      </w:r>
      <w:r>
        <w:t xml:space="preserve">, </w:t>
      </w:r>
      <w:r>
        <w:rPr>
          <w:rFonts w:ascii="Courier New" w:hAnsi="Courier New"/>
          <w:sz w:val="19"/>
        </w:rPr>
        <w:t>HttpContractTest</w:t>
      </w:r>
      <w:r>
        <w:t xml:space="preserve"> e </w:t>
      </w:r>
      <w:r>
        <w:rPr>
          <w:rFonts w:ascii="Courier New" w:hAnsi="Courier New"/>
          <w:sz w:val="19"/>
        </w:rPr>
        <w:t>ArchitectureTest</w:t>
      </w:r>
      <w:r>
        <w:t>: decisões do caso, contrato HTTP e dependências das camadas.</w:t>
      </w:r>
    </w:p>
    <w:p>
      <w:pPr>
        <w:pStyle w:val="Heading2"/>
      </w:pPr>
      <w:r>
        <w:t>Fechar a aula e preparar a troca</w:t>
      </w:r>
    </w:p>
    <w:p>
      <w:r>
        <w:t xml:space="preserve">Encerre a aplicação com </w:t>
      </w:r>
      <w:r>
        <w:rPr>
          <w:b/>
        </w:rPr>
        <w:t>Ctrl+C</w:t>
      </w:r>
      <w:r>
        <w:t xml:space="preserve"> no terminal Maven. Na raiz, execute </w:t>
      </w:r>
      <w:r>
        <w:rPr>
          <w:rFonts w:ascii="Courier New" w:hAnsi="Courier New"/>
          <w:sz w:val="19"/>
        </w:rPr>
        <w:t>podman compose down</w:t>
      </w:r>
      <w:r>
        <w:t xml:space="preserve">, salve os exercícios e confirme </w:t>
      </w:r>
      <w:r>
        <w:rPr>
          <w:rFonts w:ascii="Courier New" w:hAnsi="Courier New"/>
          <w:sz w:val="19"/>
        </w:rPr>
        <w:t>git status</w:t>
      </w:r>
      <w:r>
        <w:t xml:space="preserve">. Só troque para a aula 2 com o trabalho salvo e sem alterações pendentes. Mantenha os volumes; não use </w:t>
      </w:r>
      <w:r>
        <w:rPr>
          <w:rFonts w:ascii="Courier New" w:hAnsi="Courier New"/>
          <w:sz w:val="19"/>
        </w:rPr>
        <w:t>down -v</w:t>
      </w:r>
      <w:r>
        <w:t>.</w:t>
      </w:r>
    </w:p>
    <w:p>
      <w:r>
        <w:br w:type="page"/>
      </w:r>
    </w:p>
    <w:p>
      <w:pPr>
        <w:pStyle w:val="Heading2"/>
      </w:pPr>
      <w:r>
        <w:t>Aula 2 com Maven</w:t>
      </w:r>
    </w:p>
    <w:p>
      <w:r/>
      <w:r>
        <w:rPr>
          <w:b/>
        </w:rPr>
        <w:t>Objetivo:</w:t>
      </w:r>
      <w:r>
        <w:t xml:space="preserve"> gravar ordem e Outbox atomicamente, publicar por relay e aplicar o evento com Inbox e projeção. Distribua os blocos entre contratos, semânticas de entrega e os experimentos executáveis de Outbox/Inbox.</w:t>
      </w:r>
    </w:p>
    <w:p>
      <w:pPr>
        <w:pStyle w:val="Heading2"/>
      </w:pPr>
      <w:r>
        <w:t>Iniciar e testar</w:t>
      </w:r>
    </w:p>
    <w:p>
      <w:r>
        <w:t>Depois de encerrar a aplicação e a infraestrutura da aula 1 e salvar os exercícios: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git status</w:t>
        <w:br/>
        <w:t>git switch aula-2</w:t>
        <w:br/>
        <w:t>podman compose stop aula2</w:t>
        <w:br/>
        <w:t>podman compose up -d postgres kafka</w:t>
        <w:br/>
        <w:t>podman compose ps</w:t>
        <w:br/>
        <w:t>mvn -pl aula2 -am verify</w:t>
        <w:br/>
        <w:t>mvn -pl aula2 -am install -DskipTests</w:t>
        <w:br/>
        <w:t>mvn -pl aula2 spring-boot:run</w:t>
      </w:r>
    </w:p>
    <w:p>
      <w:r>
        <w:t xml:space="preserve">Espere PostgreSQL e Kafka saudáveis antes de iniciar a API. </w:t>
      </w:r>
      <w:r>
        <w:rPr>
          <w:b/>
        </w:rPr>
        <w:t>Esperado:</w:t>
      </w:r>
      <w:r>
        <w:t xml:space="preserve"> 21 testes selecionando domínio + aula 2 e aplicação em </w:t>
      </w:r>
      <w:r>
        <w:rPr>
          <w:rFonts w:ascii="Courier New" w:hAnsi="Courier New"/>
          <w:sz w:val="19"/>
        </w:rPr>
        <w:t>http://localhost:8082</w:t>
      </w:r>
      <w:r>
        <w:t xml:space="preserve">. Para verificar também a primeira aplicação nesta branch, use </w:t>
      </w:r>
      <w:r>
        <w:rPr>
          <w:rFonts w:ascii="Courier New" w:hAnsi="Courier New"/>
          <w:sz w:val="19"/>
        </w:rPr>
        <w:t>mvn clean verify</w:t>
      </w:r>
      <w:r>
        <w:t xml:space="preserve">: são </w:t>
      </w:r>
      <w:r>
        <w:rPr>
          <w:b/>
        </w:rPr>
        <w:t>30 testes</w:t>
      </w:r>
      <w:r>
        <w:t xml:space="preserve"> na raiz.</w:t>
      </w:r>
    </w:p>
    <w:p>
      <w:r>
        <w:t>Em outro terminal, na mesma raiz: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python3 scripts/smoke.py --aula 2</w:t>
      </w:r>
    </w:p>
    <w:p>
      <w:r/>
      <w:r>
        <w:rPr>
          <w:b/>
        </w:rPr>
        <w:t>Esperado:</w:t>
      </w:r>
      <w:r>
        <w:t xml:space="preserve"> entrada inválida rejeitada, rollback de ordem + Outbox, relay pausado e retomado, convergência e três reenvios sem duplicar a posição. Execute sem outros alunos usando a mesma instância: o teste de rollback compara contadores globais.</w:t>
      </w:r>
    </w:p>
    <w:p>
      <w:r>
        <w:t>Para o bloco de evolução de contratos, em outro terminal: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podman compose --profile contratos up -d schema-registry</w:t>
        <w:br/>
        <w:t>python3 scripts/contratos.py</w:t>
      </w:r>
    </w:p>
    <w:p>
      <w:r>
        <w:t xml:space="preserve">Aguarde o registry responder em </w:t>
      </w:r>
      <w:r>
        <w:rPr>
          <w:rFonts w:ascii="Courier New" w:hAnsi="Courier New"/>
          <w:sz w:val="19"/>
        </w:rPr>
        <w:t>http://localhost:8085</w:t>
      </w:r>
      <w:r>
        <w:t xml:space="preserve"> antes do script. Esse bloco usa o serviço real e não faz parte dos 30 testes Java.</w:t>
      </w:r>
    </w:p>
    <w:p>
      <w:pPr>
        <w:pStyle w:val="Heading2"/>
      </w:pPr>
      <w:r>
        <w:t>Sequência de leitura das classes</w:t>
      </w:r>
    </w:p>
    <w:p>
      <w:r>
        <w:t xml:space="preserve">1. </w:t>
      </w:r>
      <w:r>
        <w:rPr>
          <w:b/>
        </w:rPr>
        <w:t>Contrato:</w:t>
      </w:r>
      <w:r>
        <w:t xml:space="preserve"> leia </w:t>
      </w:r>
      <w:r>
        <w:rPr>
          <w:rFonts w:ascii="Courier New" w:hAnsi="Courier New"/>
          <w:sz w:val="19"/>
        </w:rPr>
        <w:t>CloudEvent</w:t>
      </w:r>
      <w:r>
        <w:t xml:space="preserve">, </w:t>
      </w:r>
      <w:r>
        <w:rPr>
          <w:rFonts w:ascii="Courier New" w:hAnsi="Courier New"/>
          <w:sz w:val="19"/>
        </w:rPr>
        <w:t>OrdemData</w:t>
      </w:r>
      <w:r>
        <w:t xml:space="preserve"> e </w:t>
      </w:r>
      <w:r>
        <w:rPr>
          <w:rFonts w:ascii="Courier New" w:hAnsi="Courier New"/>
          <w:sz w:val="19"/>
        </w:rPr>
        <w:t>CloudEventTest</w:t>
      </w:r>
      <w:r>
        <w:t xml:space="preserve">. A conversão valida o envelope antes de produzir </w:t>
      </w:r>
      <w:r>
        <w:rPr>
          <w:rFonts w:ascii="Courier New" w:hAnsi="Courier New"/>
          <w:sz w:val="19"/>
        </w:rPr>
        <w:t>OrderAccepted</w:t>
      </w:r>
      <w:r>
        <w:t>; o contrato externo fica em presenter, não na entidade.</w:t>
      </w:r>
    </w:p>
    <w:p>
      <w:r>
        <w:t xml:space="preserve">2. </w:t>
      </w:r>
      <w:r>
        <w:rPr>
          <w:b/>
        </w:rPr>
        <w:t>Criação atômica:</w:t>
      </w:r>
      <w:r>
        <w:t xml:space="preserve"> </w:t>
      </w:r>
      <w:r>
        <w:rPr>
          <w:rFonts w:ascii="Courier New" w:hAnsi="Courier New"/>
          <w:sz w:val="19"/>
        </w:rPr>
        <w:t>LabController.create</w:t>
      </w:r>
      <w:r>
        <w:t xml:space="preserve"> chama </w:t>
      </w:r>
      <w:r>
        <w:rPr>
          <w:rFonts w:ascii="Courier New" w:hAnsi="Courier New"/>
          <w:sz w:val="19"/>
        </w:rPr>
        <w:t>CreateOrderUseCase</w:t>
      </w:r>
      <w:r>
        <w:t xml:space="preserve">, que usa </w:t>
      </w:r>
      <w:r>
        <w:rPr>
          <w:rFonts w:ascii="Courier New" w:hAnsi="Courier New"/>
          <w:sz w:val="19"/>
        </w:rPr>
        <w:t>TransactionBoundary</w:t>
      </w:r>
      <w:r>
        <w:t xml:space="preserve">, </w:t>
      </w:r>
      <w:r>
        <w:rPr>
          <w:rFonts w:ascii="Courier New" w:hAnsi="Courier New"/>
          <w:sz w:val="19"/>
        </w:rPr>
        <w:t>OrderRepository</w:t>
      </w:r>
      <w:r>
        <w:t xml:space="preserve"> e </w:t>
      </w:r>
      <w:r>
        <w:rPr>
          <w:rFonts w:ascii="Courier New" w:hAnsi="Courier New"/>
          <w:sz w:val="19"/>
        </w:rPr>
        <w:t>OutboxRepository</w:t>
      </w:r>
      <w:r>
        <w:t xml:space="preserve">. Veja </w:t>
      </w:r>
      <w:r>
        <w:rPr>
          <w:rFonts w:ascii="Courier New" w:hAnsi="Courier New"/>
          <w:sz w:val="19"/>
        </w:rPr>
        <w:t>SpringTransactionBoundary</w:t>
      </w:r>
      <w:r>
        <w:t xml:space="preserve">, </w:t>
      </w:r>
      <w:r>
        <w:rPr>
          <w:rFonts w:ascii="Courier New" w:hAnsi="Courier New"/>
          <w:sz w:val="19"/>
        </w:rPr>
        <w:t>JdbcOrderRepository</w:t>
      </w:r>
      <w:r>
        <w:t xml:space="preserve"> e </w:t>
      </w:r>
      <w:r>
        <w:rPr>
          <w:rFonts w:ascii="Courier New" w:hAnsi="Courier New"/>
          <w:sz w:val="19"/>
        </w:rPr>
        <w:t>JdbcOutboxRepository</w:t>
      </w:r>
      <w:r>
        <w:t xml:space="preserve"> para o commit SQL real. </w:t>
      </w:r>
      <w:r>
        <w:rPr>
          <w:rFonts w:ascii="Courier New" w:hAnsi="Courier New"/>
          <w:sz w:val="19"/>
        </w:rPr>
        <w:t>LabPresenter.created</w:t>
      </w:r>
      <w:r>
        <w:t xml:space="preserve"> prepara a resposta CloudEvents.</w:t>
      </w:r>
    </w:p>
    <w:p>
      <w:r>
        <w:t xml:space="preserve">3. </w:t>
      </w:r>
      <w:r>
        <w:rPr>
          <w:b/>
        </w:rPr>
        <w:t>Relay:</w:t>
      </w:r>
      <w:r>
        <w:t xml:space="preserve"> </w:t>
      </w:r>
      <w:r>
        <w:rPr>
          <w:rFonts w:ascii="Courier New" w:hAnsi="Courier New"/>
          <w:sz w:val="19"/>
        </w:rPr>
        <w:t>OutboxScheduler</w:t>
      </w:r>
      <w:r>
        <w:t xml:space="preserve"> chama </w:t>
      </w:r>
      <w:r>
        <w:rPr>
          <w:rFonts w:ascii="Courier New" w:hAnsi="Courier New"/>
          <w:sz w:val="19"/>
        </w:rPr>
        <w:t>PublishPendingEventsUseCase</w:t>
      </w:r>
      <w:r>
        <w:t xml:space="preserve">, que consulta </w:t>
      </w:r>
      <w:r>
        <w:rPr>
          <w:rFonts w:ascii="Courier New" w:hAnsi="Courier New"/>
          <w:sz w:val="19"/>
        </w:rPr>
        <w:t>RelayControl</w:t>
      </w:r>
      <w:r>
        <w:t xml:space="preserve">, bloqueia pendentes e publica por </w:t>
      </w:r>
      <w:r>
        <w:rPr>
          <w:rFonts w:ascii="Courier New" w:hAnsi="Courier New"/>
          <w:sz w:val="19"/>
        </w:rPr>
        <w:t>OrderEventPublisher</w:t>
      </w:r>
      <w:r>
        <w:t xml:space="preserve">. </w:t>
      </w:r>
      <w:r>
        <w:rPr>
          <w:rFonts w:ascii="Courier New" w:hAnsi="Courier New"/>
          <w:sz w:val="19"/>
        </w:rPr>
        <w:t>KafkaOrderEventPublisher</w:t>
      </w:r>
      <w:r>
        <w:t xml:space="preserve"> aguarda o ack antes da marcação na Outbox; uma falha antes do commit ainda permite reentrega.</w:t>
      </w:r>
    </w:p>
    <w:p>
      <w:r>
        <w:t xml:space="preserve">4. </w:t>
      </w:r>
      <w:r>
        <w:rPr>
          <w:b/>
        </w:rPr>
        <w:t>Inbox e projeção:</w:t>
      </w:r>
      <w:r>
        <w:t xml:space="preserve"> </w:t>
      </w:r>
      <w:r>
        <w:rPr>
          <w:rFonts w:ascii="Courier New" w:hAnsi="Courier New"/>
          <w:sz w:val="19"/>
        </w:rPr>
        <w:t>PositionConsumer</w:t>
      </w:r>
      <w:r>
        <w:t xml:space="preserve"> converte o evento e chama </w:t>
      </w:r>
      <w:r>
        <w:rPr>
          <w:rFonts w:ascii="Courier New" w:hAnsi="Courier New"/>
          <w:sz w:val="19"/>
        </w:rPr>
        <w:t>ApplyOrderAcceptedUseCase</w:t>
      </w:r>
      <w:r>
        <w:t xml:space="preserve">. </w:t>
      </w:r>
      <w:r>
        <w:rPr>
          <w:rFonts w:ascii="Courier New" w:hAnsi="Courier New"/>
          <w:sz w:val="19"/>
        </w:rPr>
        <w:t>InboxRepository</w:t>
      </w:r>
      <w:r>
        <w:t xml:space="preserve"> e </w:t>
      </w:r>
      <w:r>
        <w:rPr>
          <w:rFonts w:ascii="Courier New" w:hAnsi="Courier New"/>
          <w:sz w:val="19"/>
        </w:rPr>
        <w:t>PositionRepository</w:t>
      </w:r>
      <w:r>
        <w:t>, implementadas pelos adaptadores JDBC, registram a identidade e alteram a posição na mesma transação.</w:t>
      </w:r>
    </w:p>
    <w:p>
      <w:r>
        <w:t xml:space="preserve">5. </w:t>
      </w:r>
      <w:r>
        <w:rPr>
          <w:b/>
        </w:rPr>
        <w:t>Consulta e reenvio:</w:t>
      </w:r>
      <w:r>
        <w:t xml:space="preserve"> </w:t>
      </w:r>
      <w:r>
        <w:rPr>
          <w:rFonts w:ascii="Courier New" w:hAnsi="Courier New"/>
          <w:sz w:val="19"/>
        </w:rPr>
        <w:t>QueryLabUseCase</w:t>
      </w:r>
      <w:r>
        <w:t xml:space="preserve"> usa </w:t>
      </w:r>
      <w:r>
        <w:rPr>
          <w:rFonts w:ascii="Courier New" w:hAnsi="Courier New"/>
          <w:sz w:val="19"/>
        </w:rPr>
        <w:t>LabReadRepository</w:t>
      </w:r>
      <w:r>
        <w:t xml:space="preserve"> e </w:t>
      </w:r>
      <w:r>
        <w:rPr>
          <w:rFonts w:ascii="Courier New" w:hAnsi="Courier New"/>
          <w:sz w:val="19"/>
        </w:rPr>
        <w:t>ReadModels</w:t>
      </w:r>
      <w:r>
        <w:t xml:space="preserve">; </w:t>
      </w:r>
      <w:r>
        <w:rPr>
          <w:rFonts w:ascii="Courier New" w:hAnsi="Courier New"/>
          <w:sz w:val="19"/>
        </w:rPr>
        <w:t>LabPresenter</w:t>
      </w:r>
      <w:r>
        <w:t xml:space="preserve"> traduz os resultados para JSON. </w:t>
      </w:r>
      <w:r>
        <w:rPr>
          <w:rFonts w:ascii="Courier New" w:hAnsi="Courier New"/>
          <w:sz w:val="19"/>
        </w:rPr>
        <w:t>RequeueEventUseCase</w:t>
      </w:r>
      <w:r>
        <w:t xml:space="preserve"> recoloca o mesmo ID como pendente. O presenter não consulta o banco nem executa os casos de uso.</w:t>
      </w:r>
    </w:p>
    <w:p>
      <w:r>
        <w:t xml:space="preserve">6. </w:t>
      </w:r>
      <w:r>
        <w:rPr>
          <w:b/>
        </w:rPr>
        <w:t>Composição e testes:</w:t>
      </w:r>
      <w:r>
        <w:t xml:space="preserve"> termine com </w:t>
      </w:r>
      <w:r>
        <w:rPr>
          <w:rFonts w:ascii="Courier New" w:hAnsi="Courier New"/>
          <w:sz w:val="19"/>
        </w:rPr>
        <w:t>UseCaseConfiguration</w:t>
      </w:r>
      <w:r>
        <w:t xml:space="preserve">, </w:t>
      </w:r>
      <w:r>
        <w:rPr>
          <w:rFonts w:ascii="Courier New" w:hAnsi="Courier New"/>
          <w:sz w:val="19"/>
        </w:rPr>
        <w:t>KafkaConfiguration</w:t>
      </w:r>
      <w:r>
        <w:t xml:space="preserve">, </w:t>
      </w:r>
      <w:r>
        <w:rPr>
          <w:rFonts w:ascii="Courier New" w:hAnsi="Courier New"/>
          <w:sz w:val="19"/>
        </w:rPr>
        <w:t>OrderUseCasesTest</w:t>
      </w:r>
      <w:r>
        <w:t xml:space="preserve">, </w:t>
      </w:r>
      <w:r>
        <w:rPr>
          <w:rFonts w:ascii="Courier New" w:hAnsi="Courier New"/>
          <w:sz w:val="19"/>
        </w:rPr>
        <w:t>HttpContractTest</w:t>
      </w:r>
      <w:r>
        <w:t xml:space="preserve"> e </w:t>
      </w:r>
      <w:r>
        <w:rPr>
          <w:rFonts w:ascii="Courier New" w:hAnsi="Courier New"/>
          <w:sz w:val="19"/>
        </w:rPr>
        <w:t>ArchitectureTest</w:t>
      </w:r>
      <w:r>
        <w:t>. Diferencie os testes sem serviços externos do smoke com banco e brokers reais.</w:t>
      </w:r>
    </w:p>
    <w:p>
      <w:pPr>
        <w:pStyle w:val="Heading2"/>
      </w:pPr>
      <w:r>
        <w:t>Encerrar e consultar os detalhes</w:t>
      </w:r>
    </w:p>
    <w:p>
      <w:r>
        <w:t xml:space="preserve">Encerre o Maven com </w:t>
      </w:r>
      <w:r>
        <w:rPr>
          <w:b/>
        </w:rPr>
        <w:t>Ctrl+C</w:t>
      </w:r>
      <w:r>
        <w:t xml:space="preserve"> e execute </w:t>
      </w:r>
      <w:r>
        <w:rPr>
          <w:rFonts w:ascii="Courier New" w:hAnsi="Courier New"/>
          <w:sz w:val="19"/>
        </w:rPr>
        <w:t>podman compose --profile contratos down</w:t>
      </w:r>
      <w:r>
        <w:t xml:space="preserve"> na raiz. Os volumes permanecem. Não execute a mesma API pelo Maven e no container ao mesmo tempo.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5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25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50" w:lineRule="auto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faelNevesdeOliveira/java-eventos/releases/download/aulas-1-e-2-v1.0.0/Laboratorios_EDA_Aulas_1_e_2_Java25.zip" TargetMode="External"/><Relationship Id="rId10" Type="http://schemas.openxmlformats.org/officeDocument/2006/relationships/hyperlink" Target="https://github.com/RafaelNevesdeOliveira/java-eventos/blob/professor/docs/ARQUITETURA.md" TargetMode="External"/><Relationship Id="rId11" Type="http://schemas.openxmlformats.org/officeDocument/2006/relationships/hyperlink" Target="https://github.com/RafaelNevesdeOliveira/java-eventos/blob/professor/docs/CLASSES-E-FLUXOS.md" TargetMode="External"/><Relationship Id="rId12" Type="http://schemas.openxmlformats.org/officeDocument/2006/relationships/hyperlink" Target="https://github.com/RafaelNevesdeOliveira/java-eventos/blob/professor/docs/PROFESSOR.md" TargetMode="External"/><Relationship Id="rId13" Type="http://schemas.openxmlformats.org/officeDocument/2006/relationships/hyperlink" Target="https://github.com/RafaelNevesdeOliveira/java-eventos/blob/professor/docs/VALIDACAO.md" TargetMode="External"/><Relationship Id="rId14" Type="http://schemas.openxmlformats.org/officeDocument/2006/relationships/hyperlink" Target="https://github.com/RafaelNevesdeOliveira/java-eventos/blob/professor/professor/Roteiro_Professor_Passos_Alunos_Aula_1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professor para as duas aulas com Maven</dc:title>
  <dc:subject>Clean Architecture, leitura das classes e execução Maven das aulas 1 e 2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