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9EE21" w14:textId="77777777" w:rsidR="004635D2" w:rsidRDefault="0049048E">
      <w:pPr>
        <w:spacing w:before="1200"/>
        <w:jc w:val="center"/>
      </w:pPr>
      <w:r>
        <w:rPr>
          <w:b/>
          <w:bCs/>
          <w:color w:val="595959"/>
        </w:rPr>
        <w:t>07_Fundamentos_de_Marketing</w:t>
      </w:r>
    </w:p>
    <w:p w14:paraId="5B515741" w14:textId="77777777" w:rsidR="004635D2" w:rsidRDefault="0049048E">
      <w:pPr>
        <w:spacing w:before="300" w:after="100"/>
        <w:jc w:val="center"/>
      </w:pPr>
      <w:r>
        <w:rPr>
          <w:b/>
          <w:bCs/>
          <w:color w:val="1F3864"/>
          <w:sz w:val="44"/>
          <w:szCs w:val="44"/>
        </w:rPr>
        <w:t>Análise de Micro e Macroambiente</w:t>
      </w:r>
    </w:p>
    <w:p w14:paraId="5A8D4EC6" w14:textId="77777777" w:rsidR="004635D2" w:rsidRDefault="0049048E">
      <w:pPr>
        <w:jc w:val="center"/>
      </w:pPr>
      <w:proofErr w:type="spellStart"/>
      <w:r>
        <w:rPr>
          <w:b/>
          <w:bCs/>
          <w:color w:val="2E74B5"/>
          <w:sz w:val="30"/>
          <w:szCs w:val="30"/>
        </w:rPr>
        <w:t>Automasync</w:t>
      </w:r>
      <w:proofErr w:type="spellEnd"/>
      <w:r>
        <w:rPr>
          <w:b/>
          <w:bCs/>
          <w:color w:val="2E74B5"/>
          <w:sz w:val="30"/>
          <w:szCs w:val="30"/>
        </w:rPr>
        <w:t xml:space="preserve"> — Flex Automation</w:t>
      </w:r>
    </w:p>
    <w:p w14:paraId="7A13ECED" w14:textId="77777777" w:rsidR="004635D2" w:rsidRDefault="0049048E">
      <w:pPr>
        <w:spacing w:before="600"/>
        <w:jc w:val="center"/>
      </w:pPr>
      <w:r>
        <w:rPr>
          <w:color w:val="595959"/>
          <w:sz w:val="22"/>
          <w:szCs w:val="22"/>
        </w:rPr>
        <w:t>Grupo 6</w:t>
      </w:r>
    </w:p>
    <w:p w14:paraId="6975289F" w14:textId="77777777" w:rsidR="004635D2" w:rsidRDefault="0049048E">
      <w:pPr>
        <w:jc w:val="center"/>
      </w:pPr>
      <w:r>
        <w:rPr>
          <w:color w:val="595959"/>
        </w:rPr>
        <w:t xml:space="preserve">Eduardo </w:t>
      </w:r>
      <w:proofErr w:type="spellStart"/>
      <w:r>
        <w:rPr>
          <w:color w:val="595959"/>
        </w:rPr>
        <w:t>Paschoali</w:t>
      </w:r>
      <w:proofErr w:type="spellEnd"/>
      <w:r>
        <w:rPr>
          <w:color w:val="595959"/>
        </w:rPr>
        <w:t xml:space="preserve"> </w:t>
      </w:r>
      <w:proofErr w:type="gramStart"/>
      <w:r>
        <w:rPr>
          <w:color w:val="595959"/>
        </w:rPr>
        <w:t>Turra  •</w:t>
      </w:r>
      <w:proofErr w:type="gramEnd"/>
      <w:r>
        <w:rPr>
          <w:color w:val="595959"/>
        </w:rPr>
        <w:t xml:space="preserve">  Fernando Madeira  •  Gabriel Abreu  •  Rafael Rezende</w:t>
      </w:r>
    </w:p>
    <w:p w14:paraId="4EA44496" w14:textId="77777777" w:rsidR="004635D2" w:rsidRDefault="0049048E">
      <w:pPr>
        <w:spacing w:before="900"/>
        <w:jc w:val="center"/>
      </w:pPr>
      <w:r>
        <w:rPr>
          <w:color w:val="595959"/>
        </w:rPr>
        <w:t>Setembro de 2026</w:t>
      </w:r>
    </w:p>
    <w:p w14:paraId="0EE80CC1" w14:textId="77777777" w:rsidR="004635D2" w:rsidRDefault="004635D2">
      <w:pPr>
        <w:pageBreakBefore/>
      </w:pPr>
    </w:p>
    <w:p w14:paraId="773E0EEB" w14:textId="77777777" w:rsidR="004635D2" w:rsidRDefault="0049048E">
      <w:pPr>
        <w:pStyle w:val="Ttulo1"/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Introdução</w:t>
      </w:r>
    </w:p>
    <w:p w14:paraId="22CF402A" w14:textId="3DACB710" w:rsidR="004635D2" w:rsidRDefault="0049048E">
      <w:pPr>
        <w:spacing w:after="160" w:line="288" w:lineRule="auto"/>
        <w:jc w:val="both"/>
      </w:pPr>
      <w:r>
        <w:rPr>
          <w:sz w:val="22"/>
          <w:szCs w:val="22"/>
        </w:rPr>
        <w:t xml:space="preserve">Esta análise complementa a Visão do Produto do </w:t>
      </w:r>
      <w:proofErr w:type="spellStart"/>
      <w:r>
        <w:rPr>
          <w:sz w:val="22"/>
          <w:szCs w:val="22"/>
        </w:rPr>
        <w:t>Automasync</w:t>
      </w:r>
      <w:proofErr w:type="spellEnd"/>
      <w:r>
        <w:rPr>
          <w:sz w:val="22"/>
          <w:szCs w:val="22"/>
        </w:rPr>
        <w:t>, plataforma web desenvolvida para a Flex Automation com o objetivo de centralizar a configuração de clientes, imóveis, ambientes, dispositivos, protocolos e serviços de projetos de automação residencial. O estudo cobre o microambiente</w:t>
      </w:r>
      <w:r w:rsidR="00A412D2">
        <w:rPr>
          <w:sz w:val="22"/>
          <w:szCs w:val="22"/>
        </w:rPr>
        <w:t xml:space="preserve">, </w:t>
      </w:r>
      <w:r>
        <w:rPr>
          <w:sz w:val="22"/>
          <w:szCs w:val="22"/>
        </w:rPr>
        <w:t>os agentes com relação direta com o negócio</w:t>
      </w:r>
      <w:r w:rsidR="00A412D2">
        <w:rPr>
          <w:sz w:val="22"/>
          <w:szCs w:val="22"/>
        </w:rPr>
        <w:t xml:space="preserve">, </w:t>
      </w:r>
      <w:r>
        <w:rPr>
          <w:sz w:val="22"/>
          <w:szCs w:val="22"/>
        </w:rPr>
        <w:t>e o macroambiente</w:t>
      </w:r>
      <w:r w:rsidR="00A412D2">
        <w:rPr>
          <w:sz w:val="22"/>
          <w:szCs w:val="22"/>
        </w:rPr>
        <w:t>,</w:t>
      </w:r>
      <w:r>
        <w:rPr>
          <w:sz w:val="22"/>
          <w:szCs w:val="22"/>
        </w:rPr>
        <w:t xml:space="preserve"> as forças externas mais amplas que influenciam o setor de automação residencial no Brasil.</w:t>
      </w:r>
    </w:p>
    <w:p w14:paraId="03DD493A" w14:textId="77777777" w:rsidR="004635D2" w:rsidRDefault="0049048E">
      <w:pPr>
        <w:pStyle w:val="Ttulo1"/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1. Análise do Microambiente</w:t>
      </w:r>
    </w:p>
    <w:p w14:paraId="5B4EF1DD" w14:textId="77777777" w:rsidR="004635D2" w:rsidRDefault="0049048E">
      <w:pPr>
        <w:pStyle w:val="Ttulo2"/>
        <w:spacing w:before="260" w:after="120"/>
      </w:pPr>
      <w:r>
        <w:rPr>
          <w:b/>
          <w:bCs/>
          <w:sz w:val="24"/>
          <w:szCs w:val="24"/>
        </w:rPr>
        <w:t>1.1 Stakeholders</w:t>
      </w:r>
    </w:p>
    <w:p w14:paraId="7EA1832C" w14:textId="2E336E57" w:rsidR="004635D2" w:rsidRDefault="0049048E">
      <w:pPr>
        <w:pStyle w:val="PargrafodaLista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>Flex Automation</w:t>
      </w:r>
      <w:r w:rsidR="00A412D2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cliente contratante e "dona" do processo de negócio que o </w:t>
      </w:r>
      <w:proofErr w:type="spellStart"/>
      <w:r>
        <w:rPr>
          <w:sz w:val="22"/>
          <w:szCs w:val="22"/>
        </w:rPr>
        <w:t>Automasync</w:t>
      </w:r>
      <w:proofErr w:type="spellEnd"/>
      <w:r>
        <w:rPr>
          <w:sz w:val="22"/>
          <w:szCs w:val="22"/>
        </w:rPr>
        <w:t xml:space="preserve"> digitaliza.</w:t>
      </w:r>
    </w:p>
    <w:p w14:paraId="153231AA" w14:textId="144C4D4F" w:rsidR="004635D2" w:rsidRDefault="0049048E">
      <w:pPr>
        <w:pStyle w:val="PargrafodaLista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>Consultores Comerciais</w:t>
      </w:r>
      <w:r w:rsidR="00A412D2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usuários primários</w:t>
      </w:r>
      <w:r>
        <w:rPr>
          <w:sz w:val="22"/>
          <w:szCs w:val="22"/>
        </w:rPr>
        <w:t>;</w:t>
      </w:r>
      <w:r>
        <w:rPr>
          <w:sz w:val="22"/>
          <w:szCs w:val="22"/>
        </w:rPr>
        <w:t xml:space="preserve"> cadastram clientes e imóveis e geram propostas comerciais.</w:t>
      </w:r>
    </w:p>
    <w:p w14:paraId="41A7F1D8" w14:textId="52D3F2C4" w:rsidR="004635D2" w:rsidRDefault="0049048E">
      <w:pPr>
        <w:pStyle w:val="PargrafodaLista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>Arquitetos e Técnicos Instaladores</w:t>
      </w:r>
      <w:r w:rsidR="00A412D2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usuários secundários; consultam o projeto aprovado, sem acesso a dados financeiros.</w:t>
      </w:r>
    </w:p>
    <w:p w14:paraId="62F5AFF4" w14:textId="532EC347" w:rsidR="004635D2" w:rsidRDefault="0049048E">
      <w:pPr>
        <w:pStyle w:val="PargrafodaLista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Gestores / </w:t>
      </w:r>
      <w:proofErr w:type="spellStart"/>
      <w:r>
        <w:rPr>
          <w:b/>
          <w:bCs/>
          <w:sz w:val="22"/>
          <w:szCs w:val="22"/>
        </w:rPr>
        <w:t>Product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Owner</w:t>
      </w:r>
      <w:proofErr w:type="spellEnd"/>
      <w:r w:rsidR="00A412D2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acompanham indicadores de execução e a comparação Previsto × Realizado.</w:t>
      </w:r>
    </w:p>
    <w:p w14:paraId="066BFE3C" w14:textId="39E85FDB" w:rsidR="004635D2" w:rsidRDefault="0049048E">
      <w:pPr>
        <w:pStyle w:val="PargrafodaLista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>Equipe de desenvolvimento (Grupo 6)</w:t>
      </w:r>
      <w:r w:rsidR="00A412D2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Scrum Master, PO, UX/UI e desenvolvedores responsáveis por construir e evoluir o produto.</w:t>
      </w:r>
    </w:p>
    <w:p w14:paraId="7804E80F" w14:textId="696940D1" w:rsidR="004635D2" w:rsidRDefault="0049048E">
      <w:pPr>
        <w:pStyle w:val="PargrafodaLista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>Fabricantes e parceiros de dispositivos</w:t>
      </w:r>
      <w:r w:rsidR="00A412D2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empresas cujos catálogos técnicos alimentam o cadastro de equipamentos da plataforma.</w:t>
      </w:r>
    </w:p>
    <w:p w14:paraId="6F47845A" w14:textId="76ED6006" w:rsidR="004635D2" w:rsidRDefault="0049048E">
      <w:pPr>
        <w:pStyle w:val="PargrafodaLista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>Órgãos reguladores</w:t>
      </w:r>
      <w:r w:rsidR="00A412D2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Anatel (homologação de equipamentos de RF/IoT) e ANPD/LGPD (proteção dos dados de clientes e imóveis armazenados).</w:t>
      </w:r>
    </w:p>
    <w:p w14:paraId="25AD691B" w14:textId="748AC002" w:rsidR="004635D2" w:rsidRDefault="0049048E">
      <w:pPr>
        <w:pStyle w:val="PargrafodaLista"/>
        <w:numPr>
          <w:ilvl w:val="0"/>
          <w:numId w:val="2"/>
        </w:numPr>
        <w:spacing w:after="90"/>
      </w:pPr>
      <w:proofErr w:type="spellStart"/>
      <w:r>
        <w:rPr>
          <w:b/>
          <w:bCs/>
          <w:sz w:val="22"/>
          <w:szCs w:val="22"/>
        </w:rPr>
        <w:t>Aureside</w:t>
      </w:r>
      <w:proofErr w:type="spellEnd"/>
      <w:r w:rsidR="00A412D2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Associação Brasileira de Automação Residencial e Predial, entidade de referência do setor.</w:t>
      </w:r>
    </w:p>
    <w:p w14:paraId="08A606C1" w14:textId="77777777" w:rsidR="004635D2" w:rsidRDefault="0049048E">
      <w:pPr>
        <w:pStyle w:val="Ttulo2"/>
        <w:spacing w:before="260" w:after="120"/>
      </w:pPr>
      <w:r>
        <w:rPr>
          <w:b/>
          <w:bCs/>
          <w:sz w:val="24"/>
          <w:szCs w:val="24"/>
        </w:rPr>
        <w:t>1.2 Consumidores</w:t>
      </w:r>
    </w:p>
    <w:p w14:paraId="645DDAB3" w14:textId="09F4F867" w:rsidR="004635D2" w:rsidRDefault="0049048E">
      <w:pPr>
        <w:spacing w:after="160" w:line="288" w:lineRule="auto"/>
        <w:jc w:val="both"/>
      </w:pPr>
      <w:r>
        <w:rPr>
          <w:sz w:val="22"/>
          <w:szCs w:val="22"/>
        </w:rPr>
        <w:t xml:space="preserve">O consumidor do </w:t>
      </w:r>
      <w:proofErr w:type="spellStart"/>
      <w:r>
        <w:rPr>
          <w:sz w:val="22"/>
          <w:szCs w:val="22"/>
        </w:rPr>
        <w:t>Automasync</w:t>
      </w:r>
      <w:proofErr w:type="spellEnd"/>
      <w:r>
        <w:rPr>
          <w:sz w:val="22"/>
          <w:szCs w:val="22"/>
        </w:rPr>
        <w:t xml:space="preserve"> é duplo: direto (as equipes internas da Flex Automation que operam o </w:t>
      </w:r>
      <w:proofErr w:type="gramStart"/>
      <w:r>
        <w:rPr>
          <w:sz w:val="22"/>
          <w:szCs w:val="22"/>
        </w:rPr>
        <w:t xml:space="preserve">sistema </w:t>
      </w:r>
      <w:r>
        <w:rPr>
          <w:sz w:val="22"/>
          <w:szCs w:val="22"/>
        </w:rPr>
        <w:t xml:space="preserve"> comercial</w:t>
      </w:r>
      <w:proofErr w:type="gramEnd"/>
      <w:r>
        <w:rPr>
          <w:sz w:val="22"/>
          <w:szCs w:val="22"/>
        </w:rPr>
        <w:t>, arquitetura e instalação) e indireto (o cliente final, proprietário do imóvel, que recebe a proposta e a obra executada). O mercado brasileiro de automação residencial vive um momento de forte expansão para esse tipo de solução.</w:t>
      </w:r>
    </w:p>
    <w:p w14:paraId="7F9BF4E4" w14:textId="77777777" w:rsidR="004635D2" w:rsidRDefault="0049048E">
      <w:pPr>
        <w:pStyle w:val="PargrafodaLista"/>
        <w:numPr>
          <w:ilvl w:val="0"/>
          <w:numId w:val="2"/>
        </w:numPr>
        <w:spacing w:after="90"/>
      </w:pPr>
      <w:r>
        <w:rPr>
          <w:sz w:val="22"/>
          <w:szCs w:val="22"/>
        </w:rPr>
        <w:t>O número de residências brasileiras com algum sistema automatizado saltou de cerca de 300 mil em 2016 para 2 milhões em 2020, com projeção de crescimento anual de 22% do ecossistema até 2025 e receita estimada em R$ 16 bilhões.</w:t>
      </w:r>
    </w:p>
    <w:p w14:paraId="1D0ED64D" w14:textId="77777777" w:rsidR="004635D2" w:rsidRDefault="0049048E">
      <w:pPr>
        <w:pStyle w:val="PargrafodaLista"/>
        <w:numPr>
          <w:ilvl w:val="0"/>
          <w:numId w:val="2"/>
        </w:numPr>
        <w:spacing w:after="90"/>
      </w:pPr>
      <w:r>
        <w:rPr>
          <w:sz w:val="22"/>
          <w:szCs w:val="22"/>
        </w:rPr>
        <w:t>Em 2026, as frentes de maior demanda são iluminação automatizada, segurança conectada, eletrodomésticos inteligentes e economia de energia, muitas vezes combinadas em cenários como o "modo viagem".</w:t>
      </w:r>
    </w:p>
    <w:p w14:paraId="5D400B08" w14:textId="0BA22241" w:rsidR="004635D2" w:rsidRDefault="0049048E">
      <w:pPr>
        <w:pStyle w:val="PargrafodaLista"/>
        <w:numPr>
          <w:ilvl w:val="0"/>
          <w:numId w:val="2"/>
        </w:numPr>
        <w:spacing w:after="90"/>
      </w:pPr>
      <w:r>
        <w:rPr>
          <w:sz w:val="22"/>
          <w:szCs w:val="22"/>
        </w:rPr>
        <w:t>Marcas de dispositivos já consolidadas no mercado nacional</w:t>
      </w:r>
      <w:r w:rsidR="00A412D2">
        <w:rPr>
          <w:sz w:val="22"/>
          <w:szCs w:val="22"/>
        </w:rPr>
        <w:t>,</w:t>
      </w:r>
      <w:r>
        <w:rPr>
          <w:sz w:val="22"/>
          <w:szCs w:val="22"/>
        </w:rPr>
        <w:t xml:space="preserve"> como Positivo, </w:t>
      </w:r>
      <w:proofErr w:type="spellStart"/>
      <w:r>
        <w:rPr>
          <w:sz w:val="22"/>
          <w:szCs w:val="22"/>
        </w:rPr>
        <w:t>Smarteck</w:t>
      </w:r>
      <w:proofErr w:type="spellEnd"/>
      <w:r>
        <w:rPr>
          <w:sz w:val="22"/>
          <w:szCs w:val="22"/>
        </w:rPr>
        <w:t>, Steck e Philips</w:t>
      </w:r>
      <w:r w:rsidR="00A412D2">
        <w:rPr>
          <w:sz w:val="22"/>
          <w:szCs w:val="22"/>
        </w:rPr>
        <w:t>,</w:t>
      </w:r>
      <w:r>
        <w:rPr>
          <w:sz w:val="22"/>
          <w:szCs w:val="22"/>
        </w:rPr>
        <w:t xml:space="preserve"> mostram que o consumidor final já convive com múltiplas plataformas, reforçando a necessidade de um projeto bem documentado e centralizado.</w:t>
      </w:r>
    </w:p>
    <w:p w14:paraId="7CF4218C" w14:textId="77777777" w:rsidR="004635D2" w:rsidRDefault="0049048E">
      <w:pPr>
        <w:spacing w:before="60" w:after="200"/>
      </w:pPr>
      <w:r>
        <w:rPr>
          <w:i/>
          <w:iCs/>
          <w:color w:val="595959"/>
          <w:sz w:val="18"/>
          <w:szCs w:val="18"/>
        </w:rPr>
        <w:t xml:space="preserve">Fontes: </w:t>
      </w:r>
      <w:proofErr w:type="spellStart"/>
      <w:r>
        <w:rPr>
          <w:i/>
          <w:iCs/>
          <w:color w:val="595959"/>
          <w:sz w:val="18"/>
          <w:szCs w:val="18"/>
        </w:rPr>
        <w:t>Aureside</w:t>
      </w:r>
      <w:proofErr w:type="spellEnd"/>
      <w:r>
        <w:rPr>
          <w:i/>
          <w:iCs/>
          <w:color w:val="595959"/>
          <w:sz w:val="18"/>
          <w:szCs w:val="18"/>
        </w:rPr>
        <w:t xml:space="preserve"> (via Forbes Brasil, 2022); Revista Oeste (2026).</w:t>
      </w:r>
    </w:p>
    <w:p w14:paraId="3CB7EA6D" w14:textId="77777777" w:rsidR="004635D2" w:rsidRDefault="0049048E">
      <w:pPr>
        <w:pStyle w:val="Ttulo2"/>
        <w:spacing w:before="260" w:after="120"/>
      </w:pPr>
      <w:r>
        <w:rPr>
          <w:b/>
          <w:bCs/>
          <w:sz w:val="24"/>
          <w:szCs w:val="24"/>
        </w:rPr>
        <w:t>1.3 Fornecedores</w:t>
      </w:r>
    </w:p>
    <w:p w14:paraId="76A92718" w14:textId="73657541" w:rsidR="004635D2" w:rsidRDefault="0049048E">
      <w:pPr>
        <w:pStyle w:val="PargrafodaLista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>Fabricantes e distribuidores de dispositivos</w:t>
      </w:r>
      <w:r w:rsidR="00A412D2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empresas como </w:t>
      </w:r>
      <w:proofErr w:type="spellStart"/>
      <w:r>
        <w:rPr>
          <w:sz w:val="22"/>
          <w:szCs w:val="22"/>
        </w:rPr>
        <w:t>Amazon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Alexa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Broadlink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Bestcon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Livolo</w:t>
      </w:r>
      <w:proofErr w:type="spellEnd"/>
      <w:r>
        <w:rPr>
          <w:sz w:val="22"/>
          <w:szCs w:val="22"/>
        </w:rPr>
        <w:t xml:space="preserve"> e HTS2 são citadas como principais fornecedoras de tecnologia de integradores nacionais, além de Positivo, </w:t>
      </w:r>
      <w:proofErr w:type="spellStart"/>
      <w:r>
        <w:rPr>
          <w:sz w:val="22"/>
          <w:szCs w:val="22"/>
        </w:rPr>
        <w:t>Smarteck</w:t>
      </w:r>
      <w:proofErr w:type="spellEnd"/>
      <w:r>
        <w:rPr>
          <w:sz w:val="22"/>
          <w:szCs w:val="22"/>
        </w:rPr>
        <w:t>, Steck e Philips.</w:t>
      </w:r>
    </w:p>
    <w:p w14:paraId="524DB935" w14:textId="1DB8FEBF" w:rsidR="004635D2" w:rsidRDefault="0049048E">
      <w:pPr>
        <w:pStyle w:val="PargrafodaLista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lastRenderedPageBreak/>
        <w:t>Provedores de protocolo e conectividade</w:t>
      </w:r>
      <w:r w:rsidR="00A412D2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definem o "cardápio técnico" do catálogo do </w:t>
      </w:r>
      <w:proofErr w:type="spellStart"/>
      <w:r>
        <w:rPr>
          <w:sz w:val="22"/>
          <w:szCs w:val="22"/>
        </w:rPr>
        <w:t>Automasync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Zigbee</w:t>
      </w:r>
      <w:proofErr w:type="spellEnd"/>
      <w:r>
        <w:rPr>
          <w:sz w:val="22"/>
          <w:szCs w:val="22"/>
        </w:rPr>
        <w:t>, Wi-Fi, Z-</w:t>
      </w:r>
      <w:proofErr w:type="spellStart"/>
      <w:r>
        <w:rPr>
          <w:sz w:val="22"/>
          <w:szCs w:val="22"/>
        </w:rPr>
        <w:t>Wave</w:t>
      </w:r>
      <w:proofErr w:type="spellEnd"/>
      <w:r>
        <w:rPr>
          <w:sz w:val="22"/>
          <w:szCs w:val="22"/>
        </w:rPr>
        <w:t>, KNX e, de forma crescente, o Matter</w:t>
      </w:r>
      <w:r w:rsidR="00A412D2">
        <w:rPr>
          <w:sz w:val="22"/>
          <w:szCs w:val="22"/>
        </w:rPr>
        <w:t>,</w:t>
      </w:r>
      <w:r>
        <w:rPr>
          <w:sz w:val="22"/>
          <w:szCs w:val="22"/>
        </w:rPr>
        <w:t xml:space="preserve"> protocolo que garante interoperabilidade nativa entre dispositivos de diferentes fabricantes via Wi-Fi ou Thread, reduzindo a dependência de nuvem. Entre seus apoiadores estão </w:t>
      </w:r>
      <w:proofErr w:type="spellStart"/>
      <w:r>
        <w:rPr>
          <w:sz w:val="22"/>
          <w:szCs w:val="22"/>
        </w:rPr>
        <w:t>Amazon</w:t>
      </w:r>
      <w:proofErr w:type="spellEnd"/>
      <w:r>
        <w:rPr>
          <w:sz w:val="22"/>
          <w:szCs w:val="22"/>
        </w:rPr>
        <w:t xml:space="preserve">, Schneider Electric, Silicon </w:t>
      </w:r>
      <w:proofErr w:type="spellStart"/>
      <w:r>
        <w:rPr>
          <w:sz w:val="22"/>
          <w:szCs w:val="22"/>
        </w:rPr>
        <w:t>Labs</w:t>
      </w:r>
      <w:proofErr w:type="spellEnd"/>
      <w:r>
        <w:rPr>
          <w:sz w:val="22"/>
          <w:szCs w:val="22"/>
        </w:rPr>
        <w:t xml:space="preserve">, Tuya, Google, </w:t>
      </w:r>
      <w:proofErr w:type="spellStart"/>
      <w:r>
        <w:rPr>
          <w:sz w:val="22"/>
          <w:szCs w:val="22"/>
        </w:rPr>
        <w:t>Infineon</w:t>
      </w:r>
      <w:proofErr w:type="spellEnd"/>
      <w:r>
        <w:rPr>
          <w:sz w:val="22"/>
          <w:szCs w:val="22"/>
        </w:rPr>
        <w:t xml:space="preserve"> Technologies e Samsung.</w:t>
      </w:r>
    </w:p>
    <w:p w14:paraId="0AC6F8E7" w14:textId="4E054CD2" w:rsidR="004635D2" w:rsidRDefault="0049048E">
      <w:pPr>
        <w:pStyle w:val="PargrafodaLista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>Infraestrutura tecnológica</w:t>
      </w:r>
      <w:r w:rsidR="00A412D2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servidor de API e banco de dados relacional (SQL), conforme a arquitetura definida no documento de visão do produto.</w:t>
      </w:r>
    </w:p>
    <w:p w14:paraId="0E4776CF" w14:textId="761B78A2" w:rsidR="004635D2" w:rsidRDefault="0049048E">
      <w:pPr>
        <w:pStyle w:val="PargrafodaLista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>Ferramentas de gestão e design</w:t>
      </w:r>
      <w:r w:rsidR="00A412D2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Figma</w:t>
      </w:r>
      <w:proofErr w:type="spellEnd"/>
      <w:r>
        <w:rPr>
          <w:sz w:val="22"/>
          <w:szCs w:val="22"/>
        </w:rPr>
        <w:t xml:space="preserve"> (prototipação de UI/UX) e </w:t>
      </w:r>
      <w:proofErr w:type="spellStart"/>
      <w:r>
        <w:rPr>
          <w:sz w:val="22"/>
          <w:szCs w:val="22"/>
        </w:rPr>
        <w:t>Jira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Kanban</w:t>
      </w:r>
      <w:proofErr w:type="spellEnd"/>
      <w:r>
        <w:rPr>
          <w:sz w:val="22"/>
          <w:szCs w:val="22"/>
        </w:rPr>
        <w:t xml:space="preserve"> (gestão de sprints e backlog).</w:t>
      </w:r>
    </w:p>
    <w:p w14:paraId="66A5A236" w14:textId="212AE7C3" w:rsidR="004635D2" w:rsidRDefault="0049048E">
      <w:pPr>
        <w:pStyle w:val="PargrafodaLista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>Capital humano especializado</w:t>
      </w:r>
      <w:r w:rsidR="00A412D2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Tech Lead, UX/UI Designer, analista de dados e desenvolvedores, recursos previstos em cada release do </w:t>
      </w:r>
      <w:proofErr w:type="spellStart"/>
      <w:r>
        <w:rPr>
          <w:sz w:val="22"/>
          <w:szCs w:val="22"/>
        </w:rPr>
        <w:t>roadmap</w:t>
      </w:r>
      <w:proofErr w:type="spellEnd"/>
      <w:r>
        <w:rPr>
          <w:sz w:val="22"/>
          <w:szCs w:val="22"/>
        </w:rPr>
        <w:t>.</w:t>
      </w:r>
    </w:p>
    <w:p w14:paraId="7B4CE89A" w14:textId="77777777" w:rsidR="004635D2" w:rsidRDefault="0049048E">
      <w:pPr>
        <w:spacing w:before="60" w:after="200"/>
      </w:pPr>
      <w:r>
        <w:rPr>
          <w:i/>
          <w:iCs/>
          <w:color w:val="595959"/>
          <w:sz w:val="18"/>
          <w:szCs w:val="18"/>
        </w:rPr>
        <w:t>Fontes: Baguete (</w:t>
      </w:r>
      <w:proofErr w:type="spellStart"/>
      <w:r>
        <w:rPr>
          <w:i/>
          <w:iCs/>
          <w:color w:val="595959"/>
          <w:sz w:val="18"/>
          <w:szCs w:val="18"/>
        </w:rPr>
        <w:t>Constat</w:t>
      </w:r>
      <w:proofErr w:type="spellEnd"/>
      <w:r>
        <w:rPr>
          <w:i/>
          <w:iCs/>
          <w:color w:val="595959"/>
          <w:sz w:val="18"/>
          <w:szCs w:val="18"/>
        </w:rPr>
        <w:t xml:space="preserve">, 2021); CSA-IoT / </w:t>
      </w:r>
      <w:proofErr w:type="spellStart"/>
      <w:r>
        <w:rPr>
          <w:i/>
          <w:iCs/>
          <w:color w:val="595959"/>
          <w:sz w:val="18"/>
          <w:szCs w:val="18"/>
        </w:rPr>
        <w:t>Connectivity</w:t>
      </w:r>
      <w:proofErr w:type="spellEnd"/>
      <w:r>
        <w:rPr>
          <w:i/>
          <w:iCs/>
          <w:color w:val="595959"/>
          <w:sz w:val="18"/>
          <w:szCs w:val="18"/>
        </w:rPr>
        <w:t xml:space="preserve"> Standards Alliance (2022–2026).</w:t>
      </w:r>
    </w:p>
    <w:p w14:paraId="508446DE" w14:textId="77777777" w:rsidR="004635D2" w:rsidRDefault="0049048E">
      <w:pPr>
        <w:pStyle w:val="Ttulo2"/>
        <w:spacing w:before="260" w:after="120"/>
      </w:pPr>
      <w:r>
        <w:rPr>
          <w:b/>
          <w:bCs/>
          <w:sz w:val="24"/>
          <w:szCs w:val="24"/>
        </w:rPr>
        <w:t>1.4 Concorrentes</w:t>
      </w:r>
    </w:p>
    <w:p w14:paraId="7D9F9447" w14:textId="4CB6B9E2" w:rsidR="004635D2" w:rsidRDefault="0049048E">
      <w:pPr>
        <w:pStyle w:val="PargrafodaLista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>Diretos</w:t>
      </w:r>
      <w:r w:rsidR="00A412D2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softwares de design, orçamento e documentação de projetos para integradores de automação, categoria em que o </w:t>
      </w:r>
      <w:proofErr w:type="spellStart"/>
      <w:r>
        <w:rPr>
          <w:sz w:val="22"/>
          <w:szCs w:val="22"/>
        </w:rPr>
        <w:t>Automasync</w:t>
      </w:r>
      <w:proofErr w:type="spellEnd"/>
      <w:r>
        <w:rPr>
          <w:sz w:val="22"/>
          <w:szCs w:val="22"/>
        </w:rPr>
        <w:t xml:space="preserve"> se insere. No mercado internacional, o exemplo mais próximo é o D-Tools, que permite a integradores criar projetos detalhados com propostas automatizadas, cronogramas, listas de compra, pedidos e desenhos, historicamente integrado ao ecossistema Control4, uma das maiores plataformas de automação residencial do mundo.</w:t>
      </w:r>
    </w:p>
    <w:p w14:paraId="6E085BA1" w14:textId="5FC11FFF" w:rsidR="004635D2" w:rsidRDefault="0049048E">
      <w:pPr>
        <w:pStyle w:val="PargrafodaLista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>Substituto direto atual</w:t>
      </w:r>
      <w:r w:rsidR="00A412D2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o próprio método hoje utilizado pela Flex Automation: planilhas, documentos e anotações dispersas</w:t>
      </w:r>
      <w:r w:rsidR="00A412D2">
        <w:rPr>
          <w:sz w:val="22"/>
          <w:szCs w:val="22"/>
        </w:rPr>
        <w:t>,</w:t>
      </w:r>
      <w:r>
        <w:rPr>
          <w:sz w:val="22"/>
          <w:szCs w:val="22"/>
        </w:rPr>
        <w:t xml:space="preserve"> exatamente o problema que o </w:t>
      </w:r>
      <w:proofErr w:type="spellStart"/>
      <w:r>
        <w:rPr>
          <w:sz w:val="22"/>
          <w:szCs w:val="22"/>
        </w:rPr>
        <w:t>Automasync</w:t>
      </w:r>
      <w:proofErr w:type="spellEnd"/>
      <w:r>
        <w:rPr>
          <w:sz w:val="22"/>
          <w:szCs w:val="22"/>
        </w:rPr>
        <w:t xml:space="preserve"> propõe resolver.</w:t>
      </w:r>
    </w:p>
    <w:p w14:paraId="51B028CC" w14:textId="23E164FF" w:rsidR="004635D2" w:rsidRDefault="0049048E">
      <w:pPr>
        <w:pStyle w:val="PargrafodaLista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>Indiretos</w:t>
      </w:r>
      <w:r w:rsidR="00A412D2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ERPs</w:t>
      </w:r>
      <w:proofErr w:type="spellEnd"/>
      <w:r>
        <w:rPr>
          <w:sz w:val="22"/>
          <w:szCs w:val="22"/>
        </w:rPr>
        <w:t xml:space="preserve"> e ferramentas genéricas de orçamento e gestão de projetos (Excel, </w:t>
      </w:r>
      <w:proofErr w:type="spellStart"/>
      <w:r>
        <w:rPr>
          <w:sz w:val="22"/>
          <w:szCs w:val="22"/>
        </w:rPr>
        <w:t>CRMs</w:t>
      </w:r>
      <w:proofErr w:type="spellEnd"/>
      <w:r>
        <w:rPr>
          <w:sz w:val="22"/>
          <w:szCs w:val="22"/>
        </w:rPr>
        <w:t xml:space="preserve"> de construção) adaptadas manualmente ao setor, além de apps de configuração próprios de fabricantes de automação (ex.: Control4 Composer, Home </w:t>
      </w:r>
      <w:proofErr w:type="spellStart"/>
      <w:r>
        <w:rPr>
          <w:sz w:val="22"/>
          <w:szCs w:val="22"/>
        </w:rPr>
        <w:t>Assistant</w:t>
      </w:r>
      <w:proofErr w:type="spellEnd"/>
      <w:r>
        <w:rPr>
          <w:sz w:val="22"/>
          <w:szCs w:val="22"/>
        </w:rPr>
        <w:t xml:space="preserve">), que resolvem parte do fluxo </w:t>
      </w:r>
      <w:proofErr w:type="gramStart"/>
      <w:r>
        <w:rPr>
          <w:sz w:val="22"/>
          <w:szCs w:val="22"/>
        </w:rPr>
        <w:t>técnico</w:t>
      </w:r>
      <w:proofErr w:type="gramEnd"/>
      <w:r>
        <w:rPr>
          <w:sz w:val="22"/>
          <w:szCs w:val="22"/>
        </w:rPr>
        <w:t xml:space="preserve"> mas não a jornada comercial completa.</w:t>
      </w:r>
    </w:p>
    <w:p w14:paraId="6E19F6F1" w14:textId="339E9A06" w:rsidR="004635D2" w:rsidRDefault="0049048E">
      <w:pPr>
        <w:pStyle w:val="PargrafodaLista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>Potenciais entrantes</w:t>
      </w:r>
      <w:r w:rsidR="00A412D2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grandes fabricantes de dispositivos (Tuya, Schneider Electric, entre outros) poderiam verticalizar e oferecer ferramentas próprias de projeto e orçamento para seus integradores, aproveitando a adoção crescente do Matter.</w:t>
      </w:r>
    </w:p>
    <w:p w14:paraId="75237DC6" w14:textId="77777777" w:rsidR="004635D2" w:rsidRDefault="0049048E">
      <w:pPr>
        <w:spacing w:before="60" w:after="200"/>
      </w:pPr>
      <w:r>
        <w:rPr>
          <w:i/>
          <w:iCs/>
          <w:color w:val="595959"/>
          <w:sz w:val="18"/>
          <w:szCs w:val="18"/>
        </w:rPr>
        <w:t>Fontes: D-Tools / Control4 (imprensa do setor, hospitalityupgrade.com, control4.com).</w:t>
      </w:r>
    </w:p>
    <w:p w14:paraId="6D9D0971" w14:textId="77777777" w:rsidR="004635D2" w:rsidRDefault="0049048E">
      <w:pPr>
        <w:pStyle w:val="Ttulo1"/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2. Análise do Macroambiente</w:t>
      </w:r>
    </w:p>
    <w:p w14:paraId="3C801F46" w14:textId="77777777" w:rsidR="004635D2" w:rsidRDefault="0049048E">
      <w:pPr>
        <w:pStyle w:val="Ttulo2"/>
        <w:spacing w:before="260" w:after="120"/>
      </w:pPr>
      <w:r>
        <w:rPr>
          <w:b/>
          <w:bCs/>
          <w:sz w:val="24"/>
          <w:szCs w:val="24"/>
        </w:rPr>
        <w:t>2.1 Variáveis Ambientais Críticas</w:t>
      </w:r>
    </w:p>
    <w:p w14:paraId="1A3C9793" w14:textId="15F0C663" w:rsidR="004635D2" w:rsidRDefault="0049048E">
      <w:pPr>
        <w:pStyle w:val="PargrafodaLista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>Econômica</w:t>
      </w:r>
      <w:r w:rsidR="00A412D2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a economia brasileira deve crescer 1,8% em 2026 após avançar 2,5% em 2025, com a Selic projetada para encerrar o ano em 12%, ante 15% no período anterior</w:t>
      </w:r>
      <w:r w:rsidR="00A412D2">
        <w:rPr>
          <w:sz w:val="22"/>
          <w:szCs w:val="22"/>
        </w:rPr>
        <w:t>,</w:t>
      </w:r>
      <w:r>
        <w:rPr>
          <w:sz w:val="22"/>
          <w:szCs w:val="22"/>
        </w:rPr>
        <w:t xml:space="preserve"> reduzindo o custo do crédito para construção e reforma. No setor imobiliário, a queda da Selic e a maior oferta de crédito devem gerar crescimento de 16% em 2026, e cada redução de 0,25 ponto percentual amplia o acesso ao financiamento para cerca de 215 mil novas famílias. A construção civil também deve se beneficiar de investimentos estaduais em obras, de um novo modelo de financiamento habitacional e da ampliação do Minha Casa, Minha Vida.</w:t>
      </w:r>
    </w:p>
    <w:p w14:paraId="218F9F65" w14:textId="5DD37196" w:rsidR="004635D2" w:rsidRDefault="0049048E">
      <w:pPr>
        <w:pStyle w:val="PargrafodaLista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>Tecnológica</w:t>
      </w:r>
      <w:r w:rsidR="00A412D2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a fragmentação de protocolos é hoje a maior barreira técnica do setor. O Matter surge como resposta, mas sua adoção tem sido mais lenta do que o esperado, em parte porque as marcas buscam diferenciação e fidelização em torno de ecossistemas próprios, e o padrão ainda enfrenta um concorrente direto, a Home </w:t>
      </w:r>
      <w:proofErr w:type="spellStart"/>
      <w:r>
        <w:rPr>
          <w:sz w:val="22"/>
          <w:szCs w:val="22"/>
        </w:rPr>
        <w:t>Connectivity</w:t>
      </w:r>
      <w:proofErr w:type="spellEnd"/>
      <w:r>
        <w:rPr>
          <w:sz w:val="22"/>
          <w:szCs w:val="22"/>
        </w:rPr>
        <w:t xml:space="preserve"> Alliance, apoiada por LG, Samsung e Electrolux. Essa é uma variável crítica para o </w:t>
      </w:r>
      <w:proofErr w:type="spellStart"/>
      <w:r>
        <w:rPr>
          <w:sz w:val="22"/>
          <w:szCs w:val="22"/>
        </w:rPr>
        <w:t>Automasync</w:t>
      </w:r>
      <w:proofErr w:type="spellEnd"/>
      <w:r>
        <w:rPr>
          <w:sz w:val="22"/>
          <w:szCs w:val="22"/>
        </w:rPr>
        <w:t>, cujo módulo de catálogo depende diretamente da evolução dos protocolos.</w:t>
      </w:r>
    </w:p>
    <w:p w14:paraId="1DE2B9FD" w14:textId="38911C60" w:rsidR="004635D2" w:rsidRDefault="0049048E">
      <w:pPr>
        <w:pStyle w:val="PargrafodaLista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>Político-legal / Regulatória</w:t>
      </w:r>
      <w:r w:rsidR="00A412D2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como plataforma que armazena dados pessoais de clientes e de seus imóveis, o </w:t>
      </w:r>
      <w:proofErr w:type="spellStart"/>
      <w:r>
        <w:rPr>
          <w:sz w:val="22"/>
          <w:szCs w:val="22"/>
        </w:rPr>
        <w:t>Automasync</w:t>
      </w:r>
      <w:proofErr w:type="spellEnd"/>
      <w:r>
        <w:rPr>
          <w:sz w:val="22"/>
          <w:szCs w:val="22"/>
        </w:rPr>
        <w:t xml:space="preserve"> está sujeito à LGPD. Some-se a isso a dependência do setor em relação a variáveis externas como eleições, ambiente geopolítico e cenário fiscal interno, que podem afetar o ritmo de investimento das construtoras e, por consequência, a demanda por projetos de automação.</w:t>
      </w:r>
    </w:p>
    <w:p w14:paraId="1E05DFA7" w14:textId="6536506B" w:rsidR="004635D2" w:rsidRDefault="0049048E">
      <w:pPr>
        <w:pStyle w:val="PargrafodaLista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>Sociocultural</w:t>
      </w:r>
      <w:r w:rsidR="00A412D2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a popularização de assistentes de voz, do monitoramento por nuvem e da busca por conforto e segurança residencial vem ampliando a aceitação da automação para além do público de alta renda, com um número cada vez maior de pessoas interagindo com algum nível de automação em casa ou no trabalho.</w:t>
      </w:r>
    </w:p>
    <w:p w14:paraId="6261BABF" w14:textId="7EB323C9" w:rsidR="004635D2" w:rsidRDefault="0049048E">
      <w:pPr>
        <w:pStyle w:val="PargrafodaLista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>Ambienta</w:t>
      </w:r>
      <w:r>
        <w:rPr>
          <w:b/>
          <w:bCs/>
          <w:sz w:val="22"/>
          <w:szCs w:val="22"/>
        </w:rPr>
        <w:t>l</w:t>
      </w:r>
      <w:r w:rsidR="00A412D2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a eficiência energética é hoje um driver de compra explícito</w:t>
      </w:r>
      <w:r w:rsidR="00A412D2">
        <w:rPr>
          <w:sz w:val="22"/>
          <w:szCs w:val="22"/>
        </w:rPr>
        <w:t>,</w:t>
      </w:r>
      <w:r>
        <w:rPr>
          <w:sz w:val="22"/>
          <w:szCs w:val="22"/>
        </w:rPr>
        <w:t xml:space="preserve"> economia de energia é uma das principais frentes de demanda em 2026</w:t>
      </w:r>
      <w:r w:rsidR="00A412D2">
        <w:rPr>
          <w:sz w:val="22"/>
          <w:szCs w:val="22"/>
        </w:rPr>
        <w:t>,</w:t>
      </w:r>
      <w:r>
        <w:rPr>
          <w:sz w:val="22"/>
          <w:szCs w:val="22"/>
        </w:rPr>
        <w:t xml:space="preserve"> reforçando um posicionamento de sustentabilidade que o </w:t>
      </w:r>
      <w:proofErr w:type="spellStart"/>
      <w:r>
        <w:rPr>
          <w:sz w:val="22"/>
          <w:szCs w:val="22"/>
        </w:rPr>
        <w:t>Automasync</w:t>
      </w:r>
      <w:proofErr w:type="spellEnd"/>
      <w:r>
        <w:rPr>
          <w:sz w:val="22"/>
          <w:szCs w:val="22"/>
        </w:rPr>
        <w:t xml:space="preserve"> pode explorar em suas propostas comerciais, ao evidenciar a redução de consumo via automação de iluminação e climatização.</w:t>
      </w:r>
    </w:p>
    <w:p w14:paraId="5A460A40" w14:textId="32510F7E" w:rsidR="004635D2" w:rsidRDefault="0049048E">
      <w:pPr>
        <w:pStyle w:val="PargrafodaLista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>Setorial (estrutura da indústria)</w:t>
      </w:r>
      <w:r w:rsidR="00A412D2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como pano de fundo mais amplo, o mercado brasileiro de automação industrial e controles industriais deve crescer de US$ 11,1 bilhões em 2025 para US$ 18,2 bilhões até 2034 (CAGR de 5,64%), impulsionado pela modernização da manufatura e pela expansão da Internet das Coisas Industrial</w:t>
      </w:r>
      <w:r w:rsidR="00A412D2">
        <w:rPr>
          <w:sz w:val="22"/>
          <w:szCs w:val="22"/>
        </w:rPr>
        <w:t>,</w:t>
      </w:r>
      <w:r>
        <w:rPr>
          <w:sz w:val="22"/>
          <w:szCs w:val="22"/>
        </w:rPr>
        <w:t xml:space="preserve"> indicando que o ecossistema de fornecedores de componentes e sensores do qual o segmento residencial também se beneficia segue em expansão estrutural.</w:t>
      </w:r>
    </w:p>
    <w:p w14:paraId="55CFCED5" w14:textId="3198E316" w:rsidR="004635D2" w:rsidRDefault="0049048E" w:rsidP="00A412D2">
      <w:pPr>
        <w:spacing w:before="60" w:after="200"/>
      </w:pPr>
      <w:r>
        <w:rPr>
          <w:i/>
          <w:iCs/>
          <w:color w:val="595959"/>
          <w:sz w:val="18"/>
          <w:szCs w:val="18"/>
        </w:rPr>
        <w:t xml:space="preserve">Fontes: Movimento Econômico / CNI (dez. 2025); Registro de Imóveis / </w:t>
      </w:r>
      <w:proofErr w:type="spellStart"/>
      <w:r>
        <w:rPr>
          <w:i/>
          <w:iCs/>
          <w:color w:val="595959"/>
          <w:sz w:val="18"/>
          <w:szCs w:val="18"/>
        </w:rPr>
        <w:t>Abecip</w:t>
      </w:r>
      <w:proofErr w:type="spellEnd"/>
      <w:r>
        <w:rPr>
          <w:i/>
          <w:iCs/>
          <w:color w:val="595959"/>
          <w:sz w:val="18"/>
          <w:szCs w:val="18"/>
        </w:rPr>
        <w:t xml:space="preserve"> (mai. 2026); Correio da Manhã / </w:t>
      </w:r>
      <w:proofErr w:type="spellStart"/>
      <w:r>
        <w:rPr>
          <w:i/>
          <w:iCs/>
          <w:color w:val="595959"/>
          <w:sz w:val="18"/>
          <w:szCs w:val="18"/>
        </w:rPr>
        <w:t>Abrainc</w:t>
      </w:r>
      <w:proofErr w:type="spellEnd"/>
      <w:r>
        <w:rPr>
          <w:i/>
          <w:iCs/>
          <w:color w:val="595959"/>
          <w:sz w:val="18"/>
          <w:szCs w:val="18"/>
        </w:rPr>
        <w:t xml:space="preserve">, Secovi-RJ (jan. 2026); Forbes Brasil / </w:t>
      </w:r>
      <w:proofErr w:type="spellStart"/>
      <w:r>
        <w:rPr>
          <w:i/>
          <w:iCs/>
          <w:color w:val="595959"/>
          <w:sz w:val="18"/>
          <w:szCs w:val="18"/>
        </w:rPr>
        <w:t>Abrainc</w:t>
      </w:r>
      <w:proofErr w:type="spellEnd"/>
      <w:r>
        <w:rPr>
          <w:i/>
          <w:iCs/>
          <w:color w:val="595959"/>
          <w:sz w:val="18"/>
          <w:szCs w:val="18"/>
        </w:rPr>
        <w:t xml:space="preserve">, CBIC (jan. 2026); </w:t>
      </w:r>
      <w:proofErr w:type="spellStart"/>
      <w:r>
        <w:rPr>
          <w:i/>
          <w:iCs/>
          <w:color w:val="595959"/>
          <w:sz w:val="18"/>
          <w:szCs w:val="18"/>
        </w:rPr>
        <w:t>Sindusconsp</w:t>
      </w:r>
      <w:proofErr w:type="spellEnd"/>
      <w:r>
        <w:rPr>
          <w:i/>
          <w:iCs/>
          <w:color w:val="595959"/>
          <w:sz w:val="18"/>
          <w:szCs w:val="18"/>
        </w:rPr>
        <w:t xml:space="preserve"> (2026); Portas.com.br / Valor (mar. 2026); CSA-IoT; </w:t>
      </w:r>
      <w:proofErr w:type="spellStart"/>
      <w:r>
        <w:rPr>
          <w:i/>
          <w:iCs/>
          <w:color w:val="595959"/>
          <w:sz w:val="18"/>
          <w:szCs w:val="18"/>
        </w:rPr>
        <w:t>Canaltech</w:t>
      </w:r>
      <w:proofErr w:type="spellEnd"/>
      <w:r>
        <w:rPr>
          <w:i/>
          <w:iCs/>
          <w:color w:val="595959"/>
          <w:sz w:val="18"/>
          <w:szCs w:val="18"/>
        </w:rPr>
        <w:t xml:space="preserve">; IMARC </w:t>
      </w:r>
      <w:proofErr w:type="spellStart"/>
      <w:r>
        <w:rPr>
          <w:i/>
          <w:iCs/>
          <w:color w:val="595959"/>
          <w:sz w:val="18"/>
          <w:szCs w:val="18"/>
        </w:rPr>
        <w:t>Group</w:t>
      </w:r>
      <w:proofErr w:type="spellEnd"/>
      <w:r>
        <w:rPr>
          <w:i/>
          <w:iCs/>
          <w:color w:val="595959"/>
          <w:sz w:val="18"/>
          <w:szCs w:val="18"/>
        </w:rPr>
        <w:t>.</w:t>
      </w:r>
    </w:p>
    <w:sectPr w:rsidR="004635D2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E0359B"/>
    <w:multiLevelType w:val="hybridMultilevel"/>
    <w:tmpl w:val="8864DD5E"/>
    <w:lvl w:ilvl="0" w:tplc="00E21CEE">
      <w:start w:val="1"/>
      <w:numFmt w:val="bullet"/>
      <w:lvlText w:val="•"/>
      <w:lvlJc w:val="left"/>
      <w:pPr>
        <w:ind w:left="504" w:hanging="259"/>
      </w:pPr>
    </w:lvl>
    <w:lvl w:ilvl="1" w:tplc="200E016A">
      <w:start w:val="1"/>
      <w:numFmt w:val="bullet"/>
      <w:lvlText w:val="◦"/>
      <w:lvlJc w:val="left"/>
      <w:pPr>
        <w:ind w:left="1008" w:hanging="259"/>
      </w:pPr>
    </w:lvl>
    <w:lvl w:ilvl="2" w:tplc="9D124176">
      <w:numFmt w:val="decimal"/>
      <w:lvlText w:val=""/>
      <w:lvlJc w:val="left"/>
    </w:lvl>
    <w:lvl w:ilvl="3" w:tplc="E20A349C">
      <w:numFmt w:val="decimal"/>
      <w:lvlText w:val=""/>
      <w:lvlJc w:val="left"/>
    </w:lvl>
    <w:lvl w:ilvl="4" w:tplc="B68C8F92">
      <w:numFmt w:val="decimal"/>
      <w:lvlText w:val=""/>
      <w:lvlJc w:val="left"/>
    </w:lvl>
    <w:lvl w:ilvl="5" w:tplc="5C2A3346">
      <w:numFmt w:val="decimal"/>
      <w:lvlText w:val=""/>
      <w:lvlJc w:val="left"/>
    </w:lvl>
    <w:lvl w:ilvl="6" w:tplc="8C40E062">
      <w:numFmt w:val="decimal"/>
      <w:lvlText w:val=""/>
      <w:lvlJc w:val="left"/>
    </w:lvl>
    <w:lvl w:ilvl="7" w:tplc="B6009184">
      <w:numFmt w:val="decimal"/>
      <w:lvlText w:val=""/>
      <w:lvlJc w:val="left"/>
    </w:lvl>
    <w:lvl w:ilvl="8" w:tplc="200A63B2">
      <w:numFmt w:val="decimal"/>
      <w:lvlText w:val=""/>
      <w:lvlJc w:val="left"/>
    </w:lvl>
  </w:abstractNum>
  <w:abstractNum w:abstractNumId="1" w15:restartNumberingAfterBreak="0">
    <w:nsid w:val="5D5F6106"/>
    <w:multiLevelType w:val="hybridMultilevel"/>
    <w:tmpl w:val="DE10C1D4"/>
    <w:lvl w:ilvl="0" w:tplc="94D67BEA">
      <w:start w:val="1"/>
      <w:numFmt w:val="bullet"/>
      <w:lvlText w:val="●"/>
      <w:lvlJc w:val="left"/>
      <w:pPr>
        <w:ind w:left="720" w:hanging="360"/>
      </w:pPr>
    </w:lvl>
    <w:lvl w:ilvl="1" w:tplc="33ACCC78">
      <w:start w:val="1"/>
      <w:numFmt w:val="bullet"/>
      <w:lvlText w:val="○"/>
      <w:lvlJc w:val="left"/>
      <w:pPr>
        <w:ind w:left="1440" w:hanging="360"/>
      </w:pPr>
    </w:lvl>
    <w:lvl w:ilvl="2" w:tplc="B792F58A">
      <w:start w:val="1"/>
      <w:numFmt w:val="bullet"/>
      <w:lvlText w:val="■"/>
      <w:lvlJc w:val="left"/>
      <w:pPr>
        <w:ind w:left="2160" w:hanging="360"/>
      </w:pPr>
    </w:lvl>
    <w:lvl w:ilvl="3" w:tplc="66C02F20">
      <w:start w:val="1"/>
      <w:numFmt w:val="bullet"/>
      <w:lvlText w:val="●"/>
      <w:lvlJc w:val="left"/>
      <w:pPr>
        <w:ind w:left="2880" w:hanging="360"/>
      </w:pPr>
    </w:lvl>
    <w:lvl w:ilvl="4" w:tplc="5F78D7D0">
      <w:start w:val="1"/>
      <w:numFmt w:val="bullet"/>
      <w:lvlText w:val="○"/>
      <w:lvlJc w:val="left"/>
      <w:pPr>
        <w:ind w:left="3600" w:hanging="360"/>
      </w:pPr>
    </w:lvl>
    <w:lvl w:ilvl="5" w:tplc="D1182480">
      <w:start w:val="1"/>
      <w:numFmt w:val="bullet"/>
      <w:lvlText w:val="■"/>
      <w:lvlJc w:val="left"/>
      <w:pPr>
        <w:ind w:left="4320" w:hanging="360"/>
      </w:pPr>
    </w:lvl>
    <w:lvl w:ilvl="6" w:tplc="C950B97E">
      <w:start w:val="1"/>
      <w:numFmt w:val="bullet"/>
      <w:lvlText w:val="●"/>
      <w:lvlJc w:val="left"/>
      <w:pPr>
        <w:ind w:left="5040" w:hanging="360"/>
      </w:pPr>
    </w:lvl>
    <w:lvl w:ilvl="7" w:tplc="C562C55E">
      <w:start w:val="1"/>
      <w:numFmt w:val="bullet"/>
      <w:lvlText w:val="●"/>
      <w:lvlJc w:val="left"/>
      <w:pPr>
        <w:ind w:left="5760" w:hanging="360"/>
      </w:pPr>
    </w:lvl>
    <w:lvl w:ilvl="8" w:tplc="3C6A053C">
      <w:start w:val="1"/>
      <w:numFmt w:val="bullet"/>
      <w:lvlText w:val="●"/>
      <w:lvlJc w:val="left"/>
      <w:pPr>
        <w:ind w:left="6480" w:hanging="360"/>
      </w:pPr>
    </w:lvl>
  </w:abstractNum>
  <w:num w:numId="1" w16cid:durableId="1659768812">
    <w:abstractNumId w:val="1"/>
    <w:lvlOverride w:ilvl="0">
      <w:startOverride w:val="1"/>
    </w:lvlOverride>
  </w:num>
  <w:num w:numId="2" w16cid:durableId="2056041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5D2"/>
    <w:rsid w:val="004635D2"/>
    <w:rsid w:val="0049048E"/>
    <w:rsid w:val="00A412D2"/>
    <w:rsid w:val="00E44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D8BEB"/>
  <w15:docId w15:val="{AF8B40E6-681A-4E13-8FB3-72638938E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1265</Words>
  <Characters>6833</Characters>
  <Application>Microsoft Office Word</Application>
  <DocSecurity>0</DocSecurity>
  <Lines>56</Lines>
  <Paragraphs>16</Paragraphs>
  <ScaleCrop>false</ScaleCrop>
  <Company/>
  <LinksUpToDate>false</LinksUpToDate>
  <CharactersWithSpaces>8082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REZENDE SILVA</cp:lastModifiedBy>
  <cp:revision>3</cp:revision>
  <dcterms:created xsi:type="dcterms:W3CDTF">2026-09-20T22:04:00Z</dcterms:created>
  <dcterms:modified xsi:type="dcterms:W3CDTF">2026-09-20T22:05:00Z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5e371297-221d-46f2-bf6c-5186a34cbe40</vt:lpwstr>
  </property>
</Properties>
</file>