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README da análise e limpeza inicial dos dados.</w:t>
      </w:r>
    </w:p>
    <w:p w:rsidR="00000000" w:rsidDel="00000000" w:rsidP="00000000" w:rsidRDefault="00000000" w:rsidRPr="00000000" w14:paraId="00000002">
      <w:pPr>
        <w:spacing w:before="240"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Texto em vermelho: apenas para orientação inicial. Será eliminado posteriormente.</w:t>
      </w:r>
    </w:p>
    <w:p w:rsidR="00000000" w:rsidDel="00000000" w:rsidP="00000000" w:rsidRDefault="00000000" w:rsidRPr="00000000" w14:paraId="00000003">
      <w:pPr>
        <w:spacing w:before="240" w:line="360" w:lineRule="auto"/>
        <w:jc w:val="both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Em elaboração: padronizar formatação do texto junto com os demais documentos semelhantes do projeto; revisão e aprovação pelos demais membros da equipe</w:t>
      </w:r>
    </w:p>
    <w:p w:rsidR="00000000" w:rsidDel="00000000" w:rsidP="00000000" w:rsidRDefault="00000000" w:rsidRPr="00000000" w14:paraId="00000004">
      <w:pPr>
        <w:spacing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Download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do arquivo MICRODADOS_ENEM_2021.csv na página</w:t>
      </w:r>
      <w:hyperlink r:id="rId6">
        <w:r w:rsidDel="00000000" w:rsidR="00000000" w:rsidRPr="00000000">
          <w:rPr>
            <w:color w:val="0000ff"/>
            <w:sz w:val="24"/>
            <w:szCs w:val="24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0000ff"/>
            <w:sz w:val="24"/>
            <w:szCs w:val="24"/>
            <w:u w:val="single"/>
            <w:rtl w:val="0"/>
          </w:rPr>
          <w:t xml:space="preserve">https://www.gov.br/inep/pt-br/acesso-a-informacao/dados-abertos/microdados/enem</w:t>
        </w:r>
      </w:hyperlink>
      <w:r w:rsidDel="00000000" w:rsidR="00000000" w:rsidRPr="00000000">
        <w:rPr>
          <w:color w:val="00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5">
      <w:pPr>
        <w:spacing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Carregamento dos dados deste arquivo em um objeto do tipo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Data Frame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da biblioteca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Pandas 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da linguagem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Python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pacing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Análise preliminar deste conjunto de dados, verificando adequação ao dicionário do ENEM 2021, tipos dos dados, estatísticas de colunas com valores vazios e seleção das colunas e variáveis que farão parte do contexto da análise posterior;</w:t>
      </w:r>
    </w:p>
    <w:p w:rsidR="00000000" w:rsidDel="00000000" w:rsidP="00000000" w:rsidRDefault="00000000" w:rsidRPr="00000000" w14:paraId="00000007">
      <w:pPr>
        <w:spacing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Trabalhos de limpeza e tratamento dos dados, consistindo em:</w:t>
      </w:r>
    </w:p>
    <w:p w:rsidR="00000000" w:rsidDel="00000000" w:rsidP="00000000" w:rsidRDefault="00000000" w:rsidRPr="00000000" w14:paraId="00000008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eliminação de linhas com indicadores socioeconômicos vazios;</w:t>
      </w:r>
    </w:p>
    <w:p w:rsidR="00000000" w:rsidDel="00000000" w:rsidP="00000000" w:rsidRDefault="00000000" w:rsidRPr="00000000" w14:paraId="00000009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análise da condição de treineiro no Enem 2021 e verificação de sua aplicabilidade nas análises;</w:t>
      </w:r>
    </w:p>
    <w:p w:rsidR="00000000" w:rsidDel="00000000" w:rsidP="00000000" w:rsidRDefault="00000000" w:rsidRPr="00000000" w14:paraId="0000000A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criação de uma coluna adicional para as médias dos candidatos;</w:t>
      </w:r>
    </w:p>
    <w:p w:rsidR="00000000" w:rsidDel="00000000" w:rsidP="00000000" w:rsidRDefault="00000000" w:rsidRPr="00000000" w14:paraId="0000000B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mudança de tipo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da variável “Q005” para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C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preenchimento de valores da variável “TP_STATUS_REDACAO” vazias com o valor 4;</w:t>
      </w:r>
    </w:p>
    <w:p w:rsidR="00000000" w:rsidDel="00000000" w:rsidP="00000000" w:rsidRDefault="00000000" w:rsidRPr="00000000" w14:paraId="0000000D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mudança de tipo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float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da variável “TP_STATUS_REDACAO” para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preenchimento com 0 (zero) das células de notas vazias;</w:t>
      </w:r>
    </w:p>
    <w:p w:rsidR="00000000" w:rsidDel="00000000" w:rsidP="00000000" w:rsidRDefault="00000000" w:rsidRPr="00000000" w14:paraId="0000000F">
      <w:pPr>
        <w:spacing w:before="240" w:line="360" w:lineRule="auto"/>
        <w:ind w:firstLine="720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cálculo e preenchimento das médias de cada inscrito;</w:t>
      </w:r>
    </w:p>
    <w:p w:rsidR="00000000" w:rsidDel="00000000" w:rsidP="00000000" w:rsidRDefault="00000000" w:rsidRPr="00000000" w14:paraId="00000010">
      <w:pPr>
        <w:spacing w:before="240" w:line="360" w:lineRule="auto"/>
        <w:rPr>
          <w:color w:val="0000ff"/>
          <w:sz w:val="24"/>
          <w:szCs w:val="24"/>
        </w:rPr>
      </w:pPr>
      <w:r w:rsidDel="00000000" w:rsidR="00000000" w:rsidRPr="00000000">
        <w:rPr>
          <w:color w:val="0000ff"/>
          <w:sz w:val="24"/>
          <w:szCs w:val="24"/>
          <w:rtl w:val="0"/>
        </w:rPr>
        <w:t xml:space="preserve">- Criação de um </w:t>
      </w:r>
      <w:r w:rsidDel="00000000" w:rsidR="00000000" w:rsidRPr="00000000">
        <w:rPr>
          <w:i w:val="1"/>
          <w:color w:val="0000ff"/>
          <w:sz w:val="24"/>
          <w:szCs w:val="24"/>
          <w:rtl w:val="0"/>
        </w:rPr>
        <w:t xml:space="preserve">Data Frame</w:t>
      </w:r>
      <w:r w:rsidDel="00000000" w:rsidR="00000000" w:rsidRPr="00000000">
        <w:rPr>
          <w:color w:val="0000ff"/>
          <w:sz w:val="24"/>
          <w:szCs w:val="24"/>
          <w:rtl w:val="0"/>
        </w:rPr>
        <w:t xml:space="preserve"> apenas com as variáveis de interesse para o projeto;</w:t>
      </w:r>
    </w:p>
    <w:p w:rsidR="00000000" w:rsidDel="00000000" w:rsidP="00000000" w:rsidRDefault="00000000" w:rsidRPr="00000000" w14:paraId="00000011">
      <w:pPr>
        <w:spacing w:before="240" w:line="360" w:lineRule="auto"/>
        <w:rPr>
          <w:b w:val="1"/>
          <w:color w:val="ff0000"/>
          <w:sz w:val="24"/>
          <w:szCs w:val="24"/>
        </w:rPr>
      </w:pP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A partir deste ponto, o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Data Frame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criado é carregado na </w:t>
      </w:r>
      <w:r w:rsidDel="00000000" w:rsidR="00000000" w:rsidRPr="00000000">
        <w:rPr>
          <w:b w:val="1"/>
          <w:i w:val="1"/>
          <w:color w:val="ff0000"/>
          <w:sz w:val="24"/>
          <w:szCs w:val="24"/>
          <w:rtl w:val="0"/>
        </w:rPr>
        <w:t xml:space="preserve">Bigquery</w:t>
      </w:r>
      <w:r w:rsidDel="00000000" w:rsidR="00000000" w:rsidRPr="00000000">
        <w:rPr>
          <w:b w:val="1"/>
          <w:color w:val="ff0000"/>
          <w:sz w:val="24"/>
          <w:szCs w:val="24"/>
          <w:rtl w:val="0"/>
        </w:rPr>
        <w:t xml:space="preserve"> da Google Cloud.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v.br/inep/pt-br/acesso-a-informacao/dados-abertos/microdados/enem" TargetMode="External"/><Relationship Id="rId7" Type="http://schemas.openxmlformats.org/officeDocument/2006/relationships/hyperlink" Target="https://www.gov.br/inep/pt-br/acesso-a-informacao/dados-abertos/microdados/en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