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3E7071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3E7071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131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190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(5 Beobachtungseinheiten)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687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</w:p>
    <w:p w:rsidR="005A284B" w:rsidRPr="00CB3250" w:rsidRDefault="008B2653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9C787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ED24C0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Grün: Einrichtungen, die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immer</w:t>
      </w:r>
      <w:proofErr w:type="gramEnd"/>
      <w:r>
        <w:rPr>
          <w:rFonts w:ascii="Calibri" w:hAnsi="Calibri" w:cs="Calibri"/>
          <w:sz w:val="21"/>
          <w:szCs w:val="21"/>
          <w:lang w:val="de-DE"/>
        </w:rPr>
        <w:t xml:space="preserve"> wenn sie von CHILDREN gefördert werden den Entdeckerfonds </w:t>
      </w:r>
      <w:r w:rsidR="007B2E07">
        <w:rPr>
          <w:rFonts w:ascii="Calibri" w:hAnsi="Calibri" w:cs="Calibri"/>
          <w:sz w:val="21"/>
          <w:szCs w:val="21"/>
          <w:lang w:val="de-DE"/>
        </w:rPr>
        <w:t xml:space="preserve">nicht </w:t>
      </w:r>
      <w:r>
        <w:rPr>
          <w:rFonts w:ascii="Calibri" w:hAnsi="Calibri" w:cs="Calibri"/>
          <w:sz w:val="21"/>
          <w:szCs w:val="21"/>
          <w:lang w:val="de-DE"/>
        </w:rPr>
        <w:t>erhalten -&gt; konstant</w:t>
      </w:r>
      <w:r w:rsidR="00F204D4">
        <w:rPr>
          <w:rFonts w:ascii="Calibri" w:hAnsi="Calibri" w:cs="Calibri"/>
          <w:sz w:val="21"/>
          <w:szCs w:val="21"/>
          <w:lang w:val="de-DE"/>
        </w:rPr>
        <w:t>e</w:t>
      </w:r>
      <w:r>
        <w:rPr>
          <w:rFonts w:ascii="Calibri" w:hAnsi="Calibri" w:cs="Calibri"/>
          <w:sz w:val="21"/>
          <w:szCs w:val="21"/>
          <w:lang w:val="de-DE"/>
        </w:rPr>
        <w:t xml:space="preserve"> Kontrollgruppe</w:t>
      </w:r>
    </w:p>
    <w:p w:rsidR="00ED24C0" w:rsidRPr="005B1BCF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Rot: „Wechsler“ -&gt; Einrichtungen, die manchmal im Entdeckerfonds sind und manchmal nicht</w:t>
      </w:r>
    </w:p>
    <w:p w:rsidR="008D522C" w:rsidRPr="005B1BCF" w:rsidRDefault="006B5D58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CE0744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032D6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(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 w:rsidR="005B1BCF"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enth</w:t>
      </w:r>
      <w:r w:rsidR="005B1BCF">
        <w:rPr>
          <w:rFonts w:ascii="Calibri" w:hAnsi="Calibri" w:cs="Calibri"/>
          <w:sz w:val="21"/>
          <w:szCs w:val="21"/>
          <w:lang w:val="de-DE"/>
        </w:rPr>
        <w:t>ie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 w:rsidR="005B1BC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 w:rsidR="005B1BCF">
        <w:rPr>
          <w:rFonts w:ascii="Calibri" w:hAnsi="Calibri" w:cs="Calibri"/>
          <w:sz w:val="21"/>
          <w:szCs w:val="21"/>
          <w:lang w:val="de-DE"/>
        </w:rPr>
        <w:t>ie</w:t>
      </w:r>
      <w:r w:rsidR="005B1BCF"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 w:rsidR="005B1BCF"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  <w:r w:rsidR="00032D6D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In der Kontrollgruppe ist die Variable „dayToDaySkills“ dagegen über die Zeit gesunken, wobei der lineare Trend negativ und statistisch signifikant ist</w:t>
      </w:r>
    </w:p>
    <w:p w:rsidR="005C30B4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 w:rsidR="00F51485"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A77A2E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-760567</wp:posOffset>
            </wp:positionH>
            <wp:positionV relativeFrom="page">
              <wp:posOffset>4033520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2940848</wp:posOffset>
            </wp:positionH>
            <wp:positionV relativeFrom="page">
              <wp:posOffset>4034155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73BAA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Placebo-Tests zeigen, dass das Treatment (= Entdeckerfonds) auch nur die relevanten Variablen beeinflusst</w:t>
      </w:r>
    </w:p>
    <w:p w:rsidR="005C30B4" w:rsidRPr="00A34CBF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proofErr w:type="gramStart"/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proofErr w:type="gramEnd"/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F204D4" w:rsidRDefault="00F204D4" w:rsidP="00773BAA">
      <w:pPr>
        <w:spacing w:after="0"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u w:val="single"/>
          <w:lang w:val="de-DE"/>
        </w:rPr>
        <w:t>5. Verwendung der neuen Treatment- und Kontrollgruppe: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Kontrollgruppe: Alle Einrichtungen, die seit der Förderung durch CHILDREN in keinem Jahr finanzielle Mittel aus dem Entdeckerfonds erhalten haben, befinden sich in der Kontrollgruppe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Datensatzes für die Kontrollgruppe mit folgenden Einrichtungen: 112, 191, 213, 599, 601, 602, 623, 684, 685, 686, 687 (11 Beobachtungseinheiten)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Treatmentgruppe: Alle Einrichtungen, die seit der Förderung durch CHILDREN in jedem Jahr am Entdeckerfonds teilgenommen haben, befinden sich in der Treatmentgruppe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 für die Treatmentgruppe</w:t>
      </w:r>
    </w:p>
    <w:p w:rsidR="00F204D4" w:rsidRPr="007A0C8D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Aufgrund der beschriebenen Definitionen wurden alle Einrichtungen, die während des Beobachtungszeitraum von der Kontrollgruppe in die Treatmentgruppe wechseln, bei der Analyse nicht berücksichtigt</w:t>
      </w:r>
    </w:p>
    <w:p w:rsidR="007A0C8D" w:rsidRPr="007A0C8D" w:rsidRDefault="007A0C8D" w:rsidP="007A0C8D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wechseln, werden entfernt, um eindeutigere Treatment- und Kontrollgruppe zu verwenden</w:t>
      </w:r>
    </w:p>
    <w:p w:rsidR="00F204D4" w:rsidRPr="0000498A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Anhand der erstellen Datensätze wurde für jedes Jahr von 2011 bis 2018 die Mittelwerte der Variablen „selfworth“ und „dayToDaySkills“ in der Treatmentgruppe und Kontrollgruppe gebildet</w:t>
      </w:r>
    </w:p>
    <w:p w:rsidR="0000498A" w:rsidRDefault="0000498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Datensatzes wurde sowohl für die Treatment- als auch für die Kontrollgruppe Zeitreihen für die Mittelwerte erstellt, die anschließend über die Zeit inkl. linearem Trend geplottet wurden</w:t>
      </w:r>
    </w:p>
    <w:p w:rsidR="0000498A" w:rsidRPr="0000498A" w:rsidRDefault="0000498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a) Selfworth:</w:t>
      </w:r>
    </w:p>
    <w:p w:rsidR="0000498A" w:rsidRDefault="0000498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Unter Verwendung der neuen Treatment- und Kontrollgruppe zeigt die Variable „selfworth“ Trends auf, die sich stark verändert haben und nicht mehr unseren Erwartungen entsprechen</w:t>
      </w:r>
    </w:p>
    <w:p w:rsidR="0000498A" w:rsidRDefault="007A0C8D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3606165</wp:posOffset>
            </wp:positionH>
            <wp:positionV relativeFrom="page">
              <wp:posOffset>6343487</wp:posOffset>
            </wp:positionV>
            <wp:extent cx="2941955" cy="2729865"/>
            <wp:effectExtent l="12700" t="12700" r="17145" b="13335"/>
            <wp:wrapNone/>
            <wp:docPr id="2" name="Grafik 2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selfworth tr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72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98A">
        <w:rPr>
          <w:rFonts w:ascii="Calibri" w:hAnsi="Calibri" w:cs="Calibri"/>
          <w:sz w:val="21"/>
          <w:szCs w:val="21"/>
          <w:lang w:val="de-DE"/>
        </w:rPr>
        <w:t xml:space="preserve">Die zeitliche Entwicklung in der Treatmentgruppe 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 sich kaum (ungefähr gleiches Level und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gleicher Trend)</w:t>
      </w:r>
    </w:p>
    <w:p w:rsidR="0000498A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hat sich die zeitliche Entwicklung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dagegen sowohl im Level als auch im Trend stark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verändert, insbesondere zwischen 2011 und 2014</w:t>
      </w:r>
    </w:p>
    <w:p w:rsidR="004E5ED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ist vermutlich darauf zurückzuführen, dass die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Einrichtungen, die von der Kontroll- in die Treatment-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gruppe wechseln, nicht mehr berücksichtigt werden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Dadurch sinkt vor allem in den ersten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perioden, in denen es sehr wenige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einheiten gibt die Mittelwerte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führt dazu, dass der Trend in der Kontrollgruppe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steigend verläuft und in der Treatmentgruppe konstant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ist, was impliziert, dass das Selbstwertgefühl der Kinder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mehr gestiegen ist als in der Treatmentgruppe</w:t>
      </w:r>
    </w:p>
    <w:p w:rsidR="00A77A2E" w:rsidRPr="00A77A2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Kein sinnvoller Zusammenhang, der allerdings daraus resultieren könnte, dass zu wenig Beobachtungseinheiten verwendet werden</w:t>
      </w:r>
    </w:p>
    <w:p w:rsidR="00773BAA" w:rsidRDefault="00773BA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4E5EDE" w:rsidRDefault="004E5EDE" w:rsidP="00773BAA">
      <w:p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 w:rsidRPr="004E5EDE">
        <w:rPr>
          <w:rFonts w:ascii="Calibri" w:hAnsi="Calibri" w:cs="Calibri"/>
          <w:sz w:val="21"/>
          <w:szCs w:val="21"/>
          <w:lang w:val="en-US"/>
        </w:rPr>
        <w:lastRenderedPageBreak/>
        <w:t>b) Day-to-day skills:</w:t>
      </w:r>
    </w:p>
    <w:p w:rsidR="004E5EDE" w:rsidRDefault="00773BA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773BAA">
        <w:rPr>
          <w:rFonts w:ascii="Calibri" w:hAnsi="Calibri" w:cs="Calibri"/>
          <w:sz w:val="21"/>
          <w:szCs w:val="21"/>
          <w:lang w:val="de-DE"/>
        </w:rPr>
        <w:t xml:space="preserve">Wenn die neue Treatment- und </w:t>
      </w:r>
      <w:r>
        <w:rPr>
          <w:rFonts w:ascii="Calibri" w:hAnsi="Calibri" w:cs="Calibri"/>
          <w:sz w:val="21"/>
          <w:szCs w:val="21"/>
          <w:lang w:val="de-DE"/>
        </w:rPr>
        <w:t>Kontrollgruppe verwendet wird, ändert sich die zeitliche Entwicklung in der Variablen „dayToDaySkills“ nur im geringen Ausmaß</w:t>
      </w:r>
    </w:p>
    <w:p w:rsidR="00773BAA" w:rsidRPr="00773BAA" w:rsidRDefault="007A0C8D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483707</wp:posOffset>
            </wp:positionH>
            <wp:positionV relativeFrom="page">
              <wp:posOffset>1617345</wp:posOffset>
            </wp:positionV>
            <wp:extent cx="3859530" cy="2941955"/>
            <wp:effectExtent l="12700" t="12700" r="13970" b="17145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control_dayToDaySkil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94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98A" w:rsidRPr="00773BA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F204D4" w:rsidRPr="00773BAA" w:rsidRDefault="00F204D4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Default="00773BA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A77A2E" w:rsidRDefault="00A77A2E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>Die Variable „dayToDaySkills“ ist in der Treatmentgruppe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nun sogar gestiegen, allerdings ist der lineare Trend nicht statistisch signifikant </w:t>
      </w: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ebenfalls nicht statistisch signifikant ist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Grafik zeigt, dass zwischen der Treatment- und Kontrollgruppe ein </w:t>
      </w:r>
      <w:r w:rsidRPr="00773BAA">
        <w:rPr>
          <w:rFonts w:ascii="Calibri" w:hAnsi="Calibri" w:cs="Calibri"/>
          <w:sz w:val="21"/>
          <w:szCs w:val="21"/>
          <w:lang w:val="de-DE"/>
        </w:rPr>
        <w:t>Unterschied bezüglich des Trends in der Variablen „dayToDaySkills“ besteht</w:t>
      </w:r>
    </w:p>
    <w:p w:rsidR="00773BAA" w:rsidRPr="00566DF2" w:rsidRDefault="00773BA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könnte ein Indiz dafür sein, dass die Alltagskompetenzen von Kindern durch die Teilnahme einer Einrichtung am Entdeckerfonds positiv beeinflusst werden könnten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Somit bleibt der allgemeine Effekt bestehen, wenn die neue Treatment- und Kontrollgruppe verwendet wird</w:t>
      </w:r>
    </w:p>
    <w:p w:rsidR="00773BAA" w:rsidRPr="00A77A2E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Allerdings verläuft die Zeitreihe deutlich volatiler, was auf die geringe Anzahl an Beobachtungseinheiten zurückzuführen ist</w:t>
      </w:r>
    </w:p>
    <w:p w:rsidR="0000498A" w:rsidRPr="00A77A2E" w:rsidRDefault="00A77A2E" w:rsidP="005C30B4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die Variable „dayToDaySkills“ sowieso besser in den Kontext des Entdeckerfonds passt, wird diese in der weiteren Analyse verwendet</w:t>
      </w: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3D6A2F" w:rsidRPr="007871C9" w:rsidRDefault="007871C9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7871C9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 xml:space="preserve">6. </w:t>
      </w:r>
      <w:r w:rsidR="00A77A2E">
        <w:rPr>
          <w:rFonts w:ascii="Calibri" w:hAnsi="Calibri" w:cs="Calibri"/>
          <w:sz w:val="21"/>
          <w:szCs w:val="21"/>
          <w:u w:val="single"/>
          <w:lang w:val="de-DE"/>
        </w:rPr>
        <w:t>Difference-in-Difference Schätzung</w:t>
      </w:r>
    </w:p>
    <w:p w:rsidR="00A77A2E" w:rsidRDefault="003D6A2F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2011 als Pre-Periode verwenden, </w:t>
      </w:r>
      <w:r w:rsidR="00A77A2E">
        <w:rPr>
          <w:rFonts w:ascii="Calibri" w:hAnsi="Calibri" w:cs="Calibri"/>
          <w:sz w:val="21"/>
          <w:szCs w:val="21"/>
          <w:lang w:val="de-DE"/>
        </w:rPr>
        <w:t xml:space="preserve">da </w:t>
      </w:r>
      <w:r>
        <w:rPr>
          <w:rFonts w:ascii="Calibri" w:hAnsi="Calibri" w:cs="Calibri"/>
          <w:sz w:val="21"/>
          <w:szCs w:val="21"/>
          <w:lang w:val="de-DE"/>
        </w:rPr>
        <w:t xml:space="preserve">keine Einrichtung </w:t>
      </w:r>
      <w:r w:rsidR="00A77A2E">
        <w:rPr>
          <w:rFonts w:ascii="Calibri" w:hAnsi="Calibri" w:cs="Calibri"/>
          <w:sz w:val="21"/>
          <w:szCs w:val="21"/>
          <w:lang w:val="de-DE"/>
        </w:rPr>
        <w:t>am</w:t>
      </w:r>
      <w:r>
        <w:rPr>
          <w:rFonts w:ascii="Calibri" w:hAnsi="Calibri" w:cs="Calibri"/>
          <w:sz w:val="21"/>
          <w:szCs w:val="21"/>
          <w:lang w:val="de-DE"/>
        </w:rPr>
        <w:t xml:space="preserve"> Entdeckerfonds teil</w:t>
      </w:r>
      <w:r w:rsidR="00A77A2E">
        <w:rPr>
          <w:rFonts w:ascii="Calibri" w:hAnsi="Calibri" w:cs="Calibri"/>
          <w:sz w:val="21"/>
          <w:szCs w:val="21"/>
          <w:lang w:val="de-DE"/>
        </w:rPr>
        <w:t>nimmt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   </w:t>
      </w:r>
    </w:p>
    <w:p w:rsidR="00A77A2E" w:rsidRDefault="00A77A2E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nur sich nur ein Jahr in der Pre-Periode befindet, kann kein Pre-Trend dargestellt werden, sondern nur der Unterschied im Level vor dem Treatment</w:t>
      </w:r>
    </w:p>
    <w:p w:rsidR="005C30B4" w:rsidRDefault="00A77A2E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Jahre </w:t>
      </w:r>
      <w:r w:rsidR="00464B87">
        <w:rPr>
          <w:rFonts w:ascii="Calibri" w:hAnsi="Calibri" w:cs="Calibri"/>
          <w:sz w:val="21"/>
          <w:szCs w:val="21"/>
          <w:lang w:val="de-DE"/>
        </w:rPr>
        <w:t>2012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-</w:t>
      </w:r>
      <w:r w:rsidR="003D6A2F"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2018</w:t>
      </w:r>
      <w:r>
        <w:rPr>
          <w:rFonts w:ascii="Calibri" w:hAnsi="Calibri" w:cs="Calibri"/>
          <w:sz w:val="21"/>
          <w:szCs w:val="21"/>
          <w:lang w:val="de-DE"/>
        </w:rPr>
        <w:t xml:space="preserve"> werden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als Post-Periode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(= nach dem Treatment)</w:t>
      </w:r>
      <w:r>
        <w:rPr>
          <w:rFonts w:ascii="Calibri" w:hAnsi="Calibri" w:cs="Calibri"/>
          <w:sz w:val="21"/>
          <w:szCs w:val="21"/>
          <w:lang w:val="de-DE"/>
        </w:rPr>
        <w:t xml:space="preserve"> verwendet</w:t>
      </w:r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Der doppelte Differenzenschätzer entspricht dem Unterschied in den Alltagskompetenzen der Kinder zwischen Treatment- und Kontrollgruppe vor und nach dem Treatment</w:t>
      </w:r>
    </w:p>
    <w:p w:rsidR="00224D80" w:rsidRPr="00903152" w:rsidRDefault="007A0C8D" w:rsidP="00224D80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die Pre- und Post-Periode wurde jeweils der Mittelwert in der Variablen „</w:t>
      </w:r>
      <w:r w:rsidRPr="00566DF2">
        <w:rPr>
          <w:rFonts w:ascii="Calibri" w:hAnsi="Calibri" w:cs="Calibri"/>
          <w:sz w:val="21"/>
          <w:szCs w:val="21"/>
          <w:lang w:val="de-DE"/>
        </w:rPr>
        <w:t>dayToDaySkills</w:t>
      </w:r>
      <w:r>
        <w:rPr>
          <w:rFonts w:ascii="Calibri" w:hAnsi="Calibri" w:cs="Calibri"/>
          <w:sz w:val="21"/>
          <w:szCs w:val="21"/>
          <w:lang w:val="de-DE"/>
        </w:rPr>
        <w:t xml:space="preserve">“ in Treatment- und Kontrollgruppe ermittelt, um den </w:t>
      </w: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EB5E62">
        <w:rPr>
          <w:rFonts w:ascii="Calibri" w:hAnsi="Calibri" w:cs="Calibri"/>
          <w:sz w:val="21"/>
          <w:szCs w:val="21"/>
          <w:lang w:val="de-DE"/>
        </w:rPr>
        <w:t xml:space="preserve">Schätzer </w:t>
      </w:r>
      <w:r>
        <w:rPr>
          <w:rFonts w:ascii="Calibri" w:hAnsi="Calibri" w:cs="Calibri"/>
          <w:sz w:val="21"/>
          <w:szCs w:val="21"/>
          <w:lang w:val="de-DE"/>
        </w:rPr>
        <w:t>zunächst per Hand zu ermitteln</w:t>
      </w:r>
    </w:p>
    <w:p w:rsidR="00224D80" w:rsidRPr="007A0C8D" w:rsidRDefault="007A0C8D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r>
            <w:rPr>
              <w:rFonts w:ascii="Cambria Math" w:hAnsi="Cambria Math" w:cs="Calibri"/>
              <w:sz w:val="21"/>
              <w:szCs w:val="21"/>
              <w:lang w:val="de-DE"/>
            </w:rPr>
            <m:t>DiD=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post,control</m:t>
                  </m:r>
                </m:sub>
              </m:sSub>
            </m:e>
          </m:d>
          <m:r>
            <w:rPr>
              <w:rFonts w:ascii="Cambria Math" w:hAnsi="Cambria Math" w:cs="Calibri"/>
              <w:sz w:val="21"/>
              <w:szCs w:val="21"/>
              <w:lang w:val="de-DE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pre,control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=0.263</m:t>
          </m:r>
        </m:oMath>
      </m:oMathPara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Allerdings kann anhand der Berechnung keine Aussage getroffen werden, ob der Treatment-Effekt statistisch signifikant ist </w:t>
      </w:r>
    </w:p>
    <w:p w:rsidR="00EB5E62" w:rsidRDefault="00EB5E62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Weitere Vorgehensweise:</w:t>
      </w:r>
    </w:p>
    <w:p w:rsidR="00EB5E62" w:rsidRPr="00AF3DCD" w:rsidRDefault="00EB5E62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Schätzer anhand einer Regression ermitteln, um auf statistische Signifikanz zu testen</w:t>
      </w:r>
    </w:p>
    <w:p w:rsidR="00AF3DCD" w:rsidRPr="00AF3DCD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Dummy-Variablen für das Treatment und die Post-Periode und Interaktion dieser Variablen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zeit-variantem Treatment-Effekt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Variable für die Treatment-Intensity generieren und anschließend für Regression verwenden </w:t>
      </w:r>
    </w:p>
    <w:p w:rsidR="002C4134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önnte </w:t>
      </w:r>
      <w:r>
        <w:rPr>
          <w:rFonts w:ascii="Calibri" w:hAnsi="Calibri" w:cs="Calibri"/>
          <w:sz w:val="21"/>
          <w:szCs w:val="21"/>
          <w:lang w:val="de-DE"/>
        </w:rPr>
        <w:t>geg</w:t>
      </w:r>
      <w:r w:rsidR="00865459">
        <w:rPr>
          <w:rFonts w:ascii="Calibri" w:hAnsi="Calibri" w:cs="Calibri"/>
          <w:sz w:val="21"/>
          <w:szCs w:val="21"/>
          <w:lang w:val="de-DE"/>
        </w:rPr>
        <w:t>eben</w:t>
      </w:r>
      <w:r>
        <w:rPr>
          <w:rFonts w:ascii="Calibri" w:hAnsi="Calibri" w:cs="Calibri"/>
          <w:sz w:val="21"/>
          <w:szCs w:val="21"/>
          <w:lang w:val="de-DE"/>
        </w:rPr>
        <w:t>en</w:t>
      </w:r>
      <w:r w:rsidR="00865459">
        <w:rPr>
          <w:rFonts w:ascii="Calibri" w:hAnsi="Calibri" w:cs="Calibri"/>
          <w:sz w:val="21"/>
          <w:szCs w:val="21"/>
          <w:lang w:val="de-DE"/>
        </w:rPr>
        <w:t>falls potenziellen bias durch wechselnde Einrichtungen verkleinern</w:t>
      </w:r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Update: 19.02.2020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Variablen: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Die Treatment-Variable wird bisher als Dummy-Variable für jedes Jahr erfasst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Bisher: Jahr-spezifisches Dummies: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2012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2013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…,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2018</m:t>
        </m:r>
      </m:oMath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 für die Jahre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Dummy-Variablen für die Einrichtungen für Einrichtung Fixed Effects</w:t>
      </w:r>
    </w:p>
    <w:p w:rsidR="005E29A7" w:rsidRPr="005E29A7" w:rsidRDefault="005E29A7" w:rsidP="005E29A7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Fehlende Variable: 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muss noch erstellt werden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ist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am Entdeckerfonds teilnimmt (= Treatment-Gruppe), und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NICHT am Entdeckerfonds teilnimmt (= Kontrollgruppe)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Regressionen:</w:t>
      </w:r>
    </w:p>
    <w:p w:rsidR="005E29A7" w:rsidRPr="00BB539D" w:rsidRDefault="003E7071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BB539D" w:rsidRPr="005E29A7" w:rsidRDefault="00BB539D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5E29A7" w:rsidRPr="005E29A7" w:rsidRDefault="003E7071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*(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Year</m:t>
              </m:r>
            </m:e>
            <m:sub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)</m:t>
          </m:r>
        </m:oMath>
      </m:oMathPara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E0911" w:rsidRDefault="00EE0911" w:rsidP="00EE0911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Regressionstabelle mit verschiedenen Spalten, die unterschiedliche Regressionen enthalten (z.B. Basline Regression, mit / ohne time fixed effects, mit / ohne ID fixed effects, mit verschiedenen Kontrollvariablen)</w:t>
      </w:r>
    </w:p>
    <w:p w:rsidR="003E44FE" w:rsidRDefault="003E44FE" w:rsidP="003E44FE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3E44FE" w:rsidRDefault="003E44FE" w:rsidP="003E44FE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3E44FE" w:rsidRPr="003E44FE" w:rsidRDefault="003E44FE" w:rsidP="00775B16">
      <w:pPr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en-US"/>
        </w:rPr>
      </w:pPr>
      <w:r w:rsidRPr="003E44FE">
        <w:rPr>
          <w:rFonts w:ascii="Calibri" w:hAnsi="Calibri" w:cs="Calibri"/>
          <w:szCs w:val="24"/>
          <w:u w:val="single"/>
          <w:lang w:val="en-US"/>
        </w:rPr>
        <w:t>Regressions</w:t>
      </w: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en-US"/>
        </w:rPr>
      </w:pPr>
    </w:p>
    <w:p w:rsidR="002C4134" w:rsidRPr="003E44FE" w:rsidRDefault="002C4134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lang w:val="en-US"/>
        </w:rPr>
      </w:pP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en-US"/>
        </w:rPr>
      </w:pPr>
      <w:r w:rsidRPr="003E44FE">
        <w:rPr>
          <w:rFonts w:ascii="Calibri" w:hAnsi="Calibri" w:cs="Calibri"/>
          <w:sz w:val="21"/>
          <w:szCs w:val="21"/>
          <w:u w:val="single"/>
          <w:lang w:val="en-US"/>
        </w:rPr>
        <w:t>1. Regression: Simple linear regression</w:t>
      </w:r>
    </w:p>
    <w:p w:rsidR="003E44FE" w:rsidRPr="00DF2E44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In the simple linear regression, t</w:t>
      </w:r>
      <w:r w:rsidRPr="003E44FE">
        <w:rPr>
          <w:rFonts w:ascii="Calibri" w:hAnsi="Calibri" w:cs="Calibri"/>
          <w:sz w:val="21"/>
          <w:szCs w:val="21"/>
          <w:lang w:val="en-US"/>
        </w:rPr>
        <w:t>he dependen</w:t>
      </w:r>
      <w:r>
        <w:rPr>
          <w:rFonts w:ascii="Calibri" w:hAnsi="Calibri" w:cs="Calibri"/>
          <w:sz w:val="21"/>
          <w:szCs w:val="21"/>
          <w:lang w:val="en-US"/>
        </w:rPr>
        <w:t xml:space="preserve">t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x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hAnsi="Calibri" w:cs="Calibri"/>
          <w:sz w:val="21"/>
          <w:szCs w:val="21"/>
          <w:lang w:val="en-US"/>
        </w:rPr>
        <w:t xml:space="preserve"> is only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3E44FE">
        <w:rPr>
          <w:rFonts w:ascii="Calibri" w:eastAsiaTheme="minorEastAsia" w:hAnsi="Calibri" w:cs="Calibri"/>
          <w:sz w:val="21"/>
          <w:szCs w:val="21"/>
          <w:lang w:val="en-US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en-US"/>
        </w:rPr>
        <w:t>including an intercept</w:t>
      </w:r>
    </w:p>
    <w:p w:rsidR="003E44FE" w:rsidRPr="003E44FE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3E44FE">
        <w:rPr>
          <w:rFonts w:ascii="Calibri" w:eastAsiaTheme="minorEastAsia" w:hAnsi="Calibri" w:cs="Calibri"/>
          <w:sz w:val="21"/>
          <w:szCs w:val="21"/>
          <w:lang w:val="en-US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is equal to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, if organization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i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participates in the Entdeckerfonds in year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t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(= treatment group), and 0 otherwise (= control group)</w:t>
      </w:r>
    </w:p>
    <w:p w:rsidR="003E44FE" w:rsidRDefault="003E44FE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simple linear regression is given by the following general regression equation:</w:t>
      </w:r>
    </w:p>
    <w:p w:rsidR="003E44FE" w:rsidRPr="00DF2E44" w:rsidRDefault="003E7071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DF2E44" w:rsidRP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regression doesn’t include any controls or fixed effects </w:t>
      </w:r>
    </w:p>
    <w:p w:rsid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 w:rsidRPr="00DF2E44">
        <w:rPr>
          <w:rFonts w:ascii="Calibri" w:eastAsiaTheme="minorEastAsia" w:hAnsi="Calibri" w:cs="Calibri"/>
          <w:sz w:val="21"/>
          <w:szCs w:val="21"/>
          <w:lang w:val="en-US"/>
        </w:rPr>
        <w:t xml:space="preserve">For the estimation of </w:t>
      </w:r>
      <w:r>
        <w:rPr>
          <w:rFonts w:ascii="Calibri" w:eastAsiaTheme="minorEastAsia" w:hAnsi="Calibri" w:cs="Calibri"/>
          <w:sz w:val="21"/>
          <w:szCs w:val="21"/>
          <w:lang w:val="en-US"/>
        </w:rPr>
        <w:t>simple linear regression, robust standard errors are used</w:t>
      </w:r>
    </w:p>
    <w:p w:rsidR="00775B16" w:rsidRPr="00DF2E44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This regression is a simple difference estimator</w:t>
      </w:r>
    </w:p>
    <w:p w:rsidR="003E44FE" w:rsidRDefault="003E44FE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a) Selfworth:</w:t>
      </w:r>
    </w:p>
    <w:p w:rsidR="003E44FE" w:rsidRP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Firstly,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DF2E44">
        <w:rPr>
          <w:rFonts w:ascii="Calibri" w:eastAsiaTheme="minorEastAsia" w:hAnsi="Calibri" w:cs="Calibri"/>
          <w:sz w:val="21"/>
          <w:szCs w:val="21"/>
          <w:lang w:val="en-US"/>
        </w:rPr>
        <w:t>:</w:t>
      </w:r>
    </w:p>
    <w:p w:rsidR="00DF2E44" w:rsidRPr="00DF2E44" w:rsidRDefault="003E7071" w:rsidP="00775B16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DF2E44" w:rsidRPr="00DF2E44" w:rsidRDefault="00775B16" w:rsidP="00775B16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646430</wp:posOffset>
            </wp:positionH>
            <wp:positionV relativeFrom="page">
              <wp:posOffset>4944533</wp:posOffset>
            </wp:positionV>
            <wp:extent cx="4525010" cy="1737360"/>
            <wp:effectExtent l="12700" t="12700" r="8890" b="1524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le linear regression selfwor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73736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E44" w:rsidRPr="00DF2E44" w:rsidRDefault="00DF2E4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3E44FE" w:rsidRPr="003E44FE" w:rsidRDefault="003E44FE" w:rsidP="00775B16">
      <w:pPr>
        <w:spacing w:line="276" w:lineRule="auto"/>
        <w:contextualSpacing/>
        <w:rPr>
          <w:rFonts w:ascii="Calibri" w:hAnsi="Calibri" w:cs="Calibri"/>
          <w:sz w:val="21"/>
          <w:szCs w:val="21"/>
          <w:lang w:val="en-US"/>
        </w:rPr>
      </w:pPr>
    </w:p>
    <w:p w:rsidR="007871C9" w:rsidRPr="003E44FE" w:rsidRDefault="007871C9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5B1BCF" w:rsidRDefault="005B1BCF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DF2E44" w:rsidRDefault="00DF2E44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selfworth and the treatment is positive and </w:t>
      </w:r>
      <w:r w:rsidR="001C1E95">
        <w:rPr>
          <w:rFonts w:ascii="Calibri" w:hAnsi="Calibri" w:cs="Calibri"/>
          <w:sz w:val="21"/>
          <w:szCs w:val="21"/>
          <w:lang w:val="en-US"/>
        </w:rPr>
        <w:t xml:space="preserve">highly significant </w:t>
      </w:r>
    </w:p>
    <w:p w:rsidR="001C1E95" w:rsidRPr="001C1E95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 selfworth in the treatment group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</w:t>
      </w:r>
    </w:p>
    <w:p w:rsidR="001C1E95" w:rsidRPr="001C1E95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the </w:t>
      </w:r>
      <w:r>
        <w:rPr>
          <w:rFonts w:ascii="Calibri" w:eastAsiaTheme="minorEastAsia" w:hAnsi="Calibri" w:cs="Calibri"/>
          <w:sz w:val="21"/>
          <w:szCs w:val="21"/>
          <w:lang w:val="en-US"/>
        </w:rPr>
        <w:t>selfworth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 of the children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0.2493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1C1E95" w:rsidRPr="00775B16" w:rsidRDefault="001C1E95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intercept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=2.7959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represents the average</w:t>
      </w:r>
      <w:r w:rsidR="00775B16">
        <w:rPr>
          <w:rFonts w:ascii="Calibri" w:eastAsiaTheme="minorEastAsia" w:hAnsi="Calibri" w:cs="Calibri"/>
          <w:sz w:val="21"/>
          <w:szCs w:val="21"/>
          <w:lang w:val="en-US"/>
        </w:rPr>
        <w:t xml:space="preserve"> selfworth in organizations which does not participate in the Entdeckerfonds (= control group)</w:t>
      </w:r>
    </w:p>
    <w:p w:rsidR="00775B16" w:rsidRP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sum of both estimated coefficients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+</m:t>
        </m:r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=3.0452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 the average selfworth in organization which participates in the Entdeckerfonds (= treatment group)</w:t>
      </w: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P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lastRenderedPageBreak/>
        <w:t>b) Day-to-day-skills:</w:t>
      </w:r>
    </w:p>
    <w:p w:rsid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704638</wp:posOffset>
            </wp:positionH>
            <wp:positionV relativeFrom="page">
              <wp:posOffset>1926167</wp:posOffset>
            </wp:positionV>
            <wp:extent cx="4830162" cy="1824566"/>
            <wp:effectExtent l="12700" t="12700" r="8890" b="1714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le linear regression skil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62" cy="1824566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1"/>
          <w:szCs w:val="21"/>
          <w:lang w:val="en-US"/>
        </w:rPr>
        <w:t xml:space="preserve">Second,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outcome variable which is regressed only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>:</w:t>
      </w:r>
    </w:p>
    <w:p w:rsidR="00775B16" w:rsidRPr="00775B16" w:rsidRDefault="003E7071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every-day expertise and the treatment is positive and highly significant </w:t>
      </w:r>
    </w:p>
    <w:p w:rsidR="00775B16" w:rsidRPr="001C1E95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that, in the treatment group, day-to-day-skills are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</w:t>
      </w:r>
    </w:p>
    <w:p w:rsidR="00775B16" w:rsidRPr="001C1E95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This means that in social organizations, which participates on the Entdeckerfonds, the every-day experti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 xml:space="preserve">se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of the children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 xml:space="preserve">is 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0.4111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775B16" w:rsidRPr="00775B16" w:rsidRDefault="00775B16" w:rsidP="00775B16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The intercept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=2.5979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represents the average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>day-to-day-skills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 organizations which does not participate in the Entdeckerfonds (= control group)</w:t>
      </w:r>
    </w:p>
    <w:p w:rsidR="00775B16" w:rsidRPr="007F31FE" w:rsidRDefault="00775B16" w:rsidP="001B3EAA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sum of both estimated coefficients </w:t>
      </w:r>
      <m:oMath>
        <m:acc>
          <m:acc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α</m:t>
            </m:r>
          </m:e>
        </m:acc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+</m:t>
        </m:r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=3.009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represent the average </w:t>
      </w:r>
      <w:r w:rsidR="001B3EAA">
        <w:rPr>
          <w:rFonts w:ascii="Calibri" w:eastAsiaTheme="minorEastAsia" w:hAnsi="Calibri" w:cs="Calibri"/>
          <w:sz w:val="21"/>
          <w:szCs w:val="21"/>
          <w:lang w:val="en-US"/>
        </w:rPr>
        <w:t>day-to-day-skills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in organization which participates in the Entdeckerfonds (= treatment group)</w:t>
      </w:r>
    </w:p>
    <w:p w:rsidR="007F31FE" w:rsidRDefault="007F31FE" w:rsidP="007F31FE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F31FE" w:rsidRPr="007F31FE" w:rsidRDefault="007F31FE" w:rsidP="007F31FE">
      <w:pPr>
        <w:spacing w:line="276" w:lineRule="auto"/>
        <w:rPr>
          <w:rFonts w:ascii="Calibri" w:hAnsi="Calibri" w:cs="Calibri"/>
          <w:sz w:val="21"/>
          <w:szCs w:val="21"/>
          <w:u w:val="single"/>
          <w:lang w:val="en-US"/>
        </w:rPr>
      </w:pPr>
      <w:r w:rsidRPr="007F31FE">
        <w:rPr>
          <w:rFonts w:ascii="Calibri" w:hAnsi="Calibri" w:cs="Calibri"/>
          <w:sz w:val="21"/>
          <w:szCs w:val="21"/>
          <w:u w:val="single"/>
          <w:lang w:val="en-US"/>
        </w:rPr>
        <w:t>2. Regression: Time fixed effects</w:t>
      </w:r>
    </w:p>
    <w:p w:rsidR="007F31FE" w:rsidRDefault="007F31FE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linear regression </w:t>
      </w:r>
      <w:r w:rsidR="00C07E2D">
        <w:rPr>
          <w:rFonts w:ascii="Calibri" w:hAnsi="Calibri" w:cs="Calibri"/>
          <w:sz w:val="21"/>
          <w:szCs w:val="21"/>
          <w:lang w:val="en-US"/>
        </w:rPr>
        <w:t xml:space="preserve">model is expanded by including time fixed effects to control for observable and unobservable variables that change over time but are constant across entities (= social organizations) </w:t>
      </w:r>
    </w:p>
    <w:p w:rsidR="00C07E2D" w:rsidRP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time fixed effects are implemented by including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t-1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dummy variables for the observed years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→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Empirical method: Fixed effects using Least Squares dummy variable model</w:t>
      </w:r>
    </w:p>
    <w:p w:rsidR="00C07E2D" w:rsidRP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To prevent perfect multicollinearity or strong correlation, the dummy variable for the first observed year </w:t>
      </w:r>
      <m:oMath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dumm</m:t>
        </m:r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2011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excluded from the regression equation</w:t>
      </w:r>
    </w:p>
    <w:p w:rsid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Therefore, the regression can include an intercept</w:t>
      </w:r>
    </w:p>
    <w:p w:rsidR="00C07E2D" w:rsidRDefault="00C07E2D" w:rsidP="007F31FE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Time fixed effects model is given by the following general regression equation:</w:t>
      </w:r>
    </w:p>
    <w:p w:rsidR="00442434" w:rsidRDefault="00442434" w:rsidP="00442434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C07E2D" w:rsidRPr="00442434" w:rsidRDefault="003E7071" w:rsidP="00C07E2D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442434" w:rsidRDefault="00442434" w:rsidP="00C07E2D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 w:rsidRPr="00442434">
        <w:rPr>
          <w:rFonts w:ascii="Calibri" w:eastAsiaTheme="minorEastAsia" w:hAnsi="Calibri" w:cs="Calibri"/>
          <w:sz w:val="21"/>
          <w:szCs w:val="21"/>
          <w:lang w:val="en-US"/>
        </w:rPr>
        <w:t>Furthermore, this regression is estimate</w:t>
      </w:r>
      <w:r>
        <w:rPr>
          <w:rFonts w:ascii="Calibri" w:eastAsiaTheme="minorEastAsia" w:hAnsi="Calibri" w:cs="Calibri"/>
          <w:sz w:val="21"/>
          <w:szCs w:val="21"/>
          <w:lang w:val="en-US"/>
        </w:rPr>
        <w:t>d with robust standard errors and</w:t>
      </w:r>
      <w:r w:rsidRPr="00442434">
        <w:rPr>
          <w:rFonts w:ascii="Calibri" w:eastAsiaTheme="minorEastAsia" w:hAnsi="Calibri" w:cs="Calibri"/>
          <w:sz w:val="21"/>
          <w:szCs w:val="21"/>
          <w:lang w:val="en-US"/>
        </w:rPr>
        <w:t xml:space="preserve"> does not include any control</w:t>
      </w: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variables</w:t>
      </w:r>
    </w:p>
    <w:p w:rsidR="00442434" w:rsidRDefault="00442434" w:rsidP="00442434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442434" w:rsidRDefault="00442434" w:rsidP="00442434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C07E2D" w:rsidRDefault="00442434" w:rsidP="00C07E2D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lastRenderedPageBreak/>
        <w:t>a) Selfworth:</w:t>
      </w:r>
    </w:p>
    <w:p w:rsidR="00442434" w:rsidRP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In the following time fixed effects model,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and the year dummies:</w:t>
      </w:r>
    </w:p>
    <w:p w:rsidR="00442434" w:rsidRPr="00442434" w:rsidRDefault="003E7071" w:rsidP="007A3E7B">
      <w:pPr>
        <w:spacing w:line="276" w:lineRule="auto"/>
        <w:jc w:val="center"/>
        <w:rPr>
          <w:rFonts w:ascii="Calibri" w:hAnsi="Calibri" w:cs="Calibri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442434" w:rsidRPr="00442434" w:rsidRDefault="007A3E7B" w:rsidP="00442434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704215</wp:posOffset>
            </wp:positionH>
            <wp:positionV relativeFrom="page">
              <wp:posOffset>1961727</wp:posOffset>
            </wp:positionV>
            <wp:extent cx="4610100" cy="3048000"/>
            <wp:effectExtent l="12700" t="12700" r="12700" b="12700"/>
            <wp:wrapNone/>
            <wp:docPr id="10" name="Grafik 10" descr="Ein Bild, das Text, Zei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e fixed effects selfwor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480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7E2D" w:rsidRPr="00C07E2D" w:rsidRDefault="00C07E2D" w:rsidP="00C07E2D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775B16" w:rsidRPr="00775B16" w:rsidRDefault="00775B16" w:rsidP="00775B16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775B16" w:rsidRDefault="00775B16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75B16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The relationship between selfworth and the treatment is positive and highly significant if the model includes time fixed effects</w:t>
      </w:r>
    </w:p>
    <w:p w:rsidR="00442434" w:rsidRPr="001C1E95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 selfworth in the treatment group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controlling for variables that vary over time but are constant across entities</w:t>
      </w:r>
    </w:p>
    <w:p w:rsidR="00442434" w:rsidRPr="001C1E95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the selfworth of the children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0.32025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442434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The estimated treatment effect of the time fixed effects model is higher compared to the simple linear regression</w:t>
      </w:r>
    </w:p>
    <w:p w:rsidR="00442434" w:rsidRDefault="00442434" w:rsidP="00442434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b) Day-to-day-skills:</w:t>
      </w:r>
    </w:p>
    <w:p w:rsidR="00442434" w:rsidRPr="007A3E7B" w:rsidRDefault="00442434" w:rsidP="00442434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In the second time fixed effects model,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dayToDaySkills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used as dependent variable which is regressed on the treatment dummy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and the year dummies:</w:t>
      </w:r>
    </w:p>
    <w:p w:rsidR="007A3E7B" w:rsidRPr="007A3E7B" w:rsidRDefault="003E7071" w:rsidP="007A3E7B">
      <w:pPr>
        <w:spacing w:line="276" w:lineRule="auto"/>
        <w:ind w:right="-284"/>
        <w:rPr>
          <w:rFonts w:ascii="Calibri" w:hAnsi="Calibri" w:cs="Calibri"/>
          <w:sz w:val="21"/>
          <w:szCs w:val="21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dayToDaySkills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δ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2018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7A3E7B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relationship between every-day expertise and the treatment is positive and highly significant if the model includes time fixed effects </w:t>
      </w:r>
    </w:p>
    <w:p w:rsidR="007A3E7B" w:rsidRPr="001C1E95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estimated coefficient </w:t>
      </w:r>
      <m:oMath>
        <m:acc>
          <m:acc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β</m:t>
            </m:r>
          </m:e>
        </m:acc>
        <m:r>
          <w:rPr>
            <w:rFonts w:ascii="Cambria Math" w:hAnsi="Cambria Math" w:cs="Calibri"/>
            <w:sz w:val="21"/>
            <w:szCs w:val="21"/>
            <w:lang w:val="en-US"/>
          </w:rPr>
          <m:t>=0.43490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states that, in the treatment group, day-to-day-skills are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the control group controlling for variables that vary over time but are constant across entities</w:t>
      </w:r>
    </w:p>
    <w:p w:rsidR="007A3E7B" w:rsidRPr="001C1E95" w:rsidRDefault="007A3E7B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This means that in social organizations, which participates on the Entdeckerfonds, the every-day expertise of the children is on average by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0.43490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units higher than in organizations which does not receive the Entdeckerfonds</w:t>
      </w:r>
    </w:p>
    <w:p w:rsidR="00442434" w:rsidRDefault="0009441A" w:rsidP="007A3E7B">
      <w:pPr>
        <w:pStyle w:val="Listenabsatz"/>
        <w:numPr>
          <w:ilvl w:val="0"/>
          <w:numId w:val="7"/>
        </w:numPr>
        <w:spacing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de-DE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743585</wp:posOffset>
            </wp:positionH>
            <wp:positionV relativeFrom="page">
              <wp:posOffset>1334347</wp:posOffset>
            </wp:positionV>
            <wp:extent cx="4692015" cy="3035300"/>
            <wp:effectExtent l="12700" t="12700" r="6985" b="1270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me fixed effects daytodayskil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30353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E7B">
        <w:rPr>
          <w:rFonts w:ascii="Calibri" w:hAnsi="Calibri" w:cs="Calibri"/>
          <w:sz w:val="21"/>
          <w:szCs w:val="21"/>
          <w:lang w:val="en-US"/>
        </w:rPr>
        <w:t>In the time fixed effects mode</w:t>
      </w:r>
      <w:r>
        <w:rPr>
          <w:rFonts w:ascii="Calibri" w:hAnsi="Calibri" w:cs="Calibri"/>
          <w:sz w:val="21"/>
          <w:szCs w:val="21"/>
          <w:lang w:val="en-US"/>
        </w:rPr>
        <w:t>l</w:t>
      </w:r>
      <w:r w:rsidR="007A3E7B">
        <w:rPr>
          <w:rFonts w:ascii="Calibri" w:hAnsi="Calibri" w:cs="Calibri"/>
          <w:sz w:val="21"/>
          <w:szCs w:val="21"/>
          <w:lang w:val="en-US"/>
        </w:rPr>
        <w:t>, the estimated treatment effect on day-to-day-skills is higher compared to the simple linear regression</w:t>
      </w: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7A3E7B" w:rsidRDefault="007A3E7B" w:rsidP="007A3E7B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357354" w:rsidRPr="00D37F35" w:rsidRDefault="00357354" w:rsidP="007A3E7B">
      <w:pPr>
        <w:spacing w:line="276" w:lineRule="auto"/>
        <w:rPr>
          <w:rFonts w:ascii="Calibri" w:hAnsi="Calibri" w:cs="Calibri"/>
          <w:sz w:val="21"/>
          <w:szCs w:val="21"/>
          <w:u w:val="single"/>
          <w:lang w:val="en-US"/>
        </w:rPr>
      </w:pPr>
      <w:r w:rsidRPr="00357354">
        <w:rPr>
          <w:rFonts w:ascii="Calibri" w:hAnsi="Calibri" w:cs="Calibri"/>
          <w:sz w:val="21"/>
          <w:szCs w:val="21"/>
          <w:u w:val="single"/>
          <w:lang w:val="en-US"/>
        </w:rPr>
        <w:t xml:space="preserve">3. Regression: ID – fixed effects </w:t>
      </w:r>
    </w:p>
    <w:p w:rsidR="00357354" w:rsidRDefault="00357354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In the next step, the simple linear regression is expanded by including ID – fixed effects to control for observable and unobservable</w:t>
      </w:r>
      <w:r w:rsidR="00D37F35">
        <w:rPr>
          <w:rFonts w:ascii="Calibri" w:hAnsi="Calibri" w:cs="Calibri"/>
          <w:sz w:val="21"/>
          <w:szCs w:val="21"/>
          <w:lang w:val="en-US"/>
        </w:rPr>
        <w:t xml:space="preserve"> time-invariants</w:t>
      </w:r>
      <w:r>
        <w:rPr>
          <w:rFonts w:ascii="Calibri" w:hAnsi="Calibri" w:cs="Calibri"/>
          <w:sz w:val="21"/>
          <w:szCs w:val="21"/>
          <w:lang w:val="en-US"/>
        </w:rPr>
        <w:t xml:space="preserve"> characteristics that </w:t>
      </w:r>
      <w:r w:rsidR="00D37F35">
        <w:rPr>
          <w:rFonts w:ascii="Calibri" w:hAnsi="Calibri" w:cs="Calibri"/>
          <w:sz w:val="21"/>
          <w:szCs w:val="21"/>
          <w:lang w:val="en-US"/>
        </w:rPr>
        <w:t>differ across entities (= social organizations / ID)</w:t>
      </w:r>
    </w:p>
    <w:p w:rsidR="00D37F35" w:rsidRPr="00D37F35" w:rsidRDefault="00D37F35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ID – fixed effects are implemented by including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n-1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dummy variables for the different social institution with different identification numbers (= ID) </w:t>
      </w:r>
    </w:p>
    <w:p w:rsidR="00257D3F" w:rsidRPr="00257D3F" w:rsidRDefault="00D37F35" w:rsidP="00257D3F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Empirical method: Fixed effects using Least Squares dummy variable model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 xml:space="preserve">The 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converts variables of the data type “factor” in dummy variables automatically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If the variable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ID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 is defined in the data type “factor”, the </w:t>
      </w:r>
      <w:r>
        <w:rPr>
          <w:rFonts w:ascii="Calibri" w:hAnsi="Calibri" w:cs="Calibri"/>
          <w:sz w:val="21"/>
          <w:szCs w:val="21"/>
          <w:lang w:val="en-US"/>
        </w:rPr>
        <w:t xml:space="preserve">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includes ID-fixed effects automatically by creating a dummy variable for every identification number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Furthermore, the </w:t>
      </w:r>
      <w:r>
        <w:rPr>
          <w:rFonts w:ascii="Calibri" w:hAnsi="Calibri" w:cs="Calibri"/>
          <w:sz w:val="21"/>
          <w:szCs w:val="21"/>
          <w:lang w:val="en-US"/>
        </w:rPr>
        <w:t xml:space="preserve">R-function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lm</m:t>
        </m:r>
      </m:oMath>
      <w:r>
        <w:rPr>
          <w:rFonts w:ascii="Calibri" w:eastAsiaTheme="minorEastAsia" w:hAnsi="Calibri" w:cs="Calibri"/>
          <w:sz w:val="21"/>
          <w:szCs w:val="21"/>
          <w:lang w:val="en-US"/>
        </w:rPr>
        <w:t>() excludes variables, which are highly correlated with each other, because the regression coefficients of these variables would be “NA”</w:t>
      </w:r>
    </w:p>
    <w:p w:rsidR="00257D3F" w:rsidRP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Therefore, the dummy variables for the following identification numbers are excludes from the ID-fixed effects model: 663, 664, 665, 666, 667</w:t>
      </w:r>
    </w:p>
    <w:p w:rsidR="00D37F35" w:rsidRPr="00D37F35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hAnsi="Calibri" w:cs="Calibri"/>
          <w:sz w:val="21"/>
          <w:szCs w:val="21"/>
          <w:lang w:val="en-US"/>
        </w:rPr>
        <w:t>Furthermore</w:t>
      </w:r>
      <w:r w:rsidR="00D37F35">
        <w:rPr>
          <w:rFonts w:ascii="Calibri" w:hAnsi="Calibri" w:cs="Calibri"/>
          <w:sz w:val="21"/>
          <w:szCs w:val="21"/>
          <w:lang w:val="en-US"/>
        </w:rPr>
        <w:t xml:space="preserve">, the dummy variable for one social organization is excluded </w:t>
      </w:r>
      <m:oMath>
        <m:r>
          <w:rPr>
            <w:rFonts w:ascii="Cambria Math" w:hAnsi="Cambria Math" w:cs="Calibri"/>
            <w:sz w:val="21"/>
            <w:szCs w:val="21"/>
            <w:lang w:val="en-US"/>
          </w:rPr>
          <m:t>(=</m:t>
        </m:r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dumm</m:t>
        </m:r>
        <m:sSub>
          <m:sSubPr>
            <m:ctrlPr>
              <w:rPr>
                <w:rFonts w:ascii="Cambria Math" w:eastAsiaTheme="minorEastAsia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  <w:sz w:val="21"/>
                <w:szCs w:val="21"/>
                <w:lang w:val="en-US"/>
              </w:rPr>
              <m:t>103</m:t>
            </m:r>
          </m:sub>
        </m:sSub>
        <m:r>
          <w:rPr>
            <w:rFonts w:ascii="Cambria Math" w:eastAsiaTheme="minorEastAsia" w:hAnsi="Cambria Math" w:cs="Calibri"/>
            <w:sz w:val="21"/>
            <w:szCs w:val="21"/>
            <w:lang w:val="en-US"/>
          </w:rPr>
          <m:t>)</m:t>
        </m:r>
      </m:oMath>
      <w:r w:rsidR="00D37F35">
        <w:rPr>
          <w:rFonts w:ascii="Calibri" w:eastAsiaTheme="minorEastAsia" w:hAnsi="Calibri" w:cs="Calibri"/>
          <w:sz w:val="21"/>
          <w:szCs w:val="21"/>
          <w:lang w:val="en-US"/>
        </w:rPr>
        <w:t xml:space="preserve"> from the regression to prevent perfect multicollinearity and to maintain the intercept</w:t>
      </w:r>
    </w:p>
    <w:p w:rsidR="00D37F35" w:rsidRDefault="00D37F35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ID – fixed effects model is given by the following general regression equation:</w:t>
      </w:r>
    </w:p>
    <w:p w:rsidR="00257D3F" w:rsidRP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Pr="00257D3F" w:rsidRDefault="003E7071" w:rsidP="00257D3F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104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105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73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687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Default="00257D3F" w:rsidP="00257D3F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lastRenderedPageBreak/>
        <w:t>a) Selfworth:</w:t>
      </w:r>
    </w:p>
    <w:p w:rsidR="00257D3F" w:rsidRDefault="00257D3F" w:rsidP="00257D3F">
      <w:pPr>
        <w:pStyle w:val="Listenabsatz"/>
        <w:numPr>
          <w:ilvl w:val="0"/>
          <w:numId w:val="7"/>
        </w:num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 xml:space="preserve">At first, the 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Selfworth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en-US"/>
              </w:rPr>
              <m:t>it</m:t>
            </m:r>
          </m:sub>
        </m:sSub>
      </m:oMath>
      <w:r w:rsidR="00280EE8">
        <w:rPr>
          <w:rFonts w:ascii="Calibri" w:eastAsiaTheme="minorEastAsia" w:hAnsi="Calibri" w:cs="Calibri"/>
          <w:sz w:val="21"/>
          <w:szCs w:val="21"/>
          <w:lang w:val="en-US"/>
        </w:rPr>
        <w:t xml:space="preserve"> is used a dependent variable in the ID – fixed effects model:</w:t>
      </w:r>
    </w:p>
    <w:p w:rsidR="008777B1" w:rsidRDefault="008777B1" w:rsidP="008777B1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Pr="008777B1" w:rsidRDefault="003E7071" w:rsidP="008777B1">
      <w:pPr>
        <w:spacing w:after="0"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Selfworth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en-US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2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104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105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γ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73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*dumm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687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ε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8777B1" w:rsidRDefault="008777B1" w:rsidP="008777B1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600075</wp:posOffset>
            </wp:positionH>
            <wp:positionV relativeFrom="page">
              <wp:posOffset>1741007</wp:posOffset>
            </wp:positionV>
            <wp:extent cx="3303905" cy="3569335"/>
            <wp:effectExtent l="12700" t="12700" r="10795" b="12065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D fixed effects selfwor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3569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77B1" w:rsidRPr="008777B1" w:rsidRDefault="008777B1" w:rsidP="008777B1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80EE8" w:rsidRDefault="00280EE8" w:rsidP="00280EE8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Pr="00257D3F" w:rsidRDefault="008777B1" w:rsidP="00280EE8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257D3F" w:rsidRPr="00D37F35" w:rsidRDefault="00257D3F" w:rsidP="00257D3F">
      <w:pPr>
        <w:pStyle w:val="Listenabsatz"/>
        <w:spacing w:after="0"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357354" w:rsidRPr="00357354" w:rsidRDefault="00357354" w:rsidP="00357354">
      <w:pPr>
        <w:spacing w:line="276" w:lineRule="auto"/>
        <w:rPr>
          <w:rFonts w:ascii="Calibri" w:hAnsi="Calibri" w:cs="Calibri"/>
          <w:sz w:val="21"/>
          <w:szCs w:val="21"/>
          <w:lang w:val="en-US"/>
        </w:rPr>
      </w:pPr>
    </w:p>
    <w:p w:rsidR="00442434" w:rsidRDefault="00442434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7A3E7B">
      <w:pPr>
        <w:pStyle w:val="Listenabsatz"/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8777B1" w:rsidRDefault="008777B1" w:rsidP="008777B1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  <w:r>
        <w:rPr>
          <w:rFonts w:ascii="Calibri" w:eastAsiaTheme="minorEastAsia" w:hAnsi="Calibri" w:cs="Calibri"/>
          <w:sz w:val="21"/>
          <w:szCs w:val="21"/>
          <w:lang w:val="en-US"/>
        </w:rPr>
        <w:t>The relationship between selfworth and the treatment is positive, but no longer statistically significant if the model includes ID-fixed effects</w:t>
      </w: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spacing w:line="276" w:lineRule="auto"/>
        <w:rPr>
          <w:rFonts w:ascii="Calibri" w:eastAsiaTheme="minorEastAsia" w:hAnsi="Calibri" w:cs="Calibri"/>
          <w:sz w:val="21"/>
          <w:szCs w:val="21"/>
          <w:lang w:val="en-US"/>
        </w:rPr>
      </w:pPr>
    </w:p>
    <w:p w:rsidR="00E268D9" w:rsidRDefault="00E268D9" w:rsidP="00E268D9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E268D9">
        <w:rPr>
          <w:rFonts w:ascii="Calibri" w:eastAsiaTheme="minorEastAsia" w:hAnsi="Calibri" w:cs="Calibri"/>
          <w:sz w:val="21"/>
          <w:szCs w:val="21"/>
          <w:lang w:val="de-DE"/>
        </w:rPr>
        <w:lastRenderedPageBreak/>
        <w:t xml:space="preserve">Sind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“moreIndependent”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und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“moreOpen”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bad controls, in der Regression von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“dayToDaySkills”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auf das Treatment und die </w:t>
      </w:r>
      <w:r>
        <w:rPr>
          <w:rFonts w:ascii="Calibri" w:eastAsiaTheme="minorEastAsia" w:hAnsi="Calibri" w:cs="Calibri"/>
          <w:sz w:val="21"/>
          <w:szCs w:val="21"/>
          <w:lang w:val="de-DE"/>
        </w:rPr>
        <w:t>Kontrollvariablen?</w:t>
      </w:r>
    </w:p>
    <w:p w:rsidR="00E268D9" w:rsidRDefault="00E268D9" w:rsidP="00E268D9">
      <w:pPr>
        <w:pStyle w:val="Listenabsatz"/>
        <w:numPr>
          <w:ilvl w:val="0"/>
          <w:numId w:val="8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Wenn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“moreIndependent”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und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“moreOpen”</w:t>
      </w:r>
      <w:r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de-DE"/>
        </w:rPr>
        <w:t>nicht als Kontrollvariablen verwendet werden, steigt die Signifikanz der Treatment-Effekts stark</w:t>
      </w:r>
    </w:p>
    <w:p w:rsidR="00E268D9" w:rsidRPr="00E268D9" w:rsidRDefault="00E268D9" w:rsidP="00E268D9">
      <w:pPr>
        <w:pStyle w:val="Listenabsatz"/>
        <w:numPr>
          <w:ilvl w:val="0"/>
          <w:numId w:val="8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Die Variablen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“moreIndependent”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und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“moreOpen”</w:t>
      </w:r>
      <w:r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sind möglicherweise bereits in der Zielvariable </w:t>
      </w:r>
      <w:r w:rsidRPr="00E268D9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>“dayToDaySkills”</w:t>
      </w:r>
      <w:r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>
        <w:rPr>
          <w:rFonts w:ascii="Calibri" w:eastAsiaTheme="minorEastAsia" w:hAnsi="Calibri" w:cs="Calibri"/>
          <w:sz w:val="21"/>
          <w:szCs w:val="21"/>
          <w:lang w:val="de-DE"/>
        </w:rPr>
        <w:t>enthalten, sodass es sich möglicherweise um bad controls handelt?</w:t>
      </w:r>
    </w:p>
    <w:p w:rsidR="00E268D9" w:rsidRDefault="00E268D9" w:rsidP="00E268D9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Warum setzt R in bestimmten Regressions-Outputs eine 1 hinter die Variablen (z.B. dfcEF$dummy_20121)? </w:t>
      </w:r>
    </w:p>
    <w:p w:rsidR="00E268D9" w:rsidRDefault="00E268D9" w:rsidP="00E268D9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>Soll bei</w:t>
      </w: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 dem</w:t>
      </w:r>
      <w:r w:rsidRPr="00E268D9">
        <w:rPr>
          <w:rFonts w:ascii="Calibri" w:eastAsiaTheme="minorEastAsia" w:hAnsi="Calibri" w:cs="Calibri"/>
          <w:sz w:val="21"/>
          <w:szCs w:val="21"/>
          <w:lang w:val="de-DE"/>
        </w:rPr>
        <w:t xml:space="preserve"> Time Fixed Effect – Modell das erst</w:t>
      </w:r>
      <w:r w:rsidR="003E7071">
        <w:rPr>
          <w:rFonts w:ascii="Calibri" w:eastAsiaTheme="minorEastAsia" w:hAnsi="Calibri" w:cs="Calibri"/>
          <w:sz w:val="21"/>
          <w:szCs w:val="21"/>
          <w:lang w:val="de-DE"/>
        </w:rPr>
        <w:t>e betrachtete Jahr 2011 als Referenzkategorie ausgelassen werden?</w:t>
      </w:r>
    </w:p>
    <w:p w:rsidR="003E7071" w:rsidRDefault="003E7071" w:rsidP="00E268D9">
      <w:pPr>
        <w:pStyle w:val="Listenabsatz"/>
        <w:numPr>
          <w:ilvl w:val="0"/>
          <w:numId w:val="7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Wie sollen wir den Teil mit dem Treatment-Effekt aufbauen?</w:t>
      </w:r>
    </w:p>
    <w:p w:rsidR="003E7071" w:rsidRDefault="003E7071" w:rsidP="003E7071">
      <w:pPr>
        <w:pStyle w:val="Listenabsatz"/>
        <w:numPr>
          <w:ilvl w:val="0"/>
          <w:numId w:val="8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Nur Ergebnisse</w:t>
      </w:r>
    </w:p>
    <w:p w:rsidR="003E7071" w:rsidRPr="00E268D9" w:rsidRDefault="003E7071" w:rsidP="003E7071">
      <w:pPr>
        <w:pStyle w:val="Listenabsatz"/>
        <w:numPr>
          <w:ilvl w:val="0"/>
          <w:numId w:val="8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Oder Hinführen: Baseline und dann stufenweise Erweiterung (id-fixed effects, year-fixed effects, Kontrollvariablen)</w:t>
      </w:r>
      <w:bookmarkStart w:id="0" w:name="_GoBack"/>
      <w:bookmarkEnd w:id="0"/>
    </w:p>
    <w:sectPr w:rsidR="003E7071" w:rsidRPr="00E268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4B1"/>
    <w:multiLevelType w:val="hybridMultilevel"/>
    <w:tmpl w:val="81A40608"/>
    <w:lvl w:ilvl="0" w:tplc="8A3EF40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34A08"/>
    <w:multiLevelType w:val="hybridMultilevel"/>
    <w:tmpl w:val="6A3E6D94"/>
    <w:lvl w:ilvl="0" w:tplc="E65CF2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0498A"/>
    <w:rsid w:val="00022860"/>
    <w:rsid w:val="00032D6D"/>
    <w:rsid w:val="000875E9"/>
    <w:rsid w:val="00087A05"/>
    <w:rsid w:val="00090E21"/>
    <w:rsid w:val="0009441A"/>
    <w:rsid w:val="000D2990"/>
    <w:rsid w:val="00142B09"/>
    <w:rsid w:val="00163280"/>
    <w:rsid w:val="001A5754"/>
    <w:rsid w:val="001B3EAA"/>
    <w:rsid w:val="001C1E95"/>
    <w:rsid w:val="001C487A"/>
    <w:rsid w:val="001E25F3"/>
    <w:rsid w:val="00206CAC"/>
    <w:rsid w:val="00224D80"/>
    <w:rsid w:val="00225F8E"/>
    <w:rsid w:val="00257D3F"/>
    <w:rsid w:val="00260E6E"/>
    <w:rsid w:val="00271CD6"/>
    <w:rsid w:val="00280EE8"/>
    <w:rsid w:val="00285486"/>
    <w:rsid w:val="002C4134"/>
    <w:rsid w:val="0030402C"/>
    <w:rsid w:val="00313E0E"/>
    <w:rsid w:val="003562C5"/>
    <w:rsid w:val="00357354"/>
    <w:rsid w:val="003778CA"/>
    <w:rsid w:val="00391939"/>
    <w:rsid w:val="003A5D88"/>
    <w:rsid w:val="003B7A09"/>
    <w:rsid w:val="003C62F7"/>
    <w:rsid w:val="003D6A2F"/>
    <w:rsid w:val="003E44FE"/>
    <w:rsid w:val="003E7071"/>
    <w:rsid w:val="003F3AE5"/>
    <w:rsid w:val="0043431E"/>
    <w:rsid w:val="00442434"/>
    <w:rsid w:val="004526A0"/>
    <w:rsid w:val="00452FD9"/>
    <w:rsid w:val="00464B87"/>
    <w:rsid w:val="00483119"/>
    <w:rsid w:val="004A1913"/>
    <w:rsid w:val="004D0CF0"/>
    <w:rsid w:val="004D42B0"/>
    <w:rsid w:val="004E5EDE"/>
    <w:rsid w:val="004F5825"/>
    <w:rsid w:val="005617DA"/>
    <w:rsid w:val="00566DF2"/>
    <w:rsid w:val="00585094"/>
    <w:rsid w:val="005A284B"/>
    <w:rsid w:val="005A78A4"/>
    <w:rsid w:val="005B1BCF"/>
    <w:rsid w:val="005C30B4"/>
    <w:rsid w:val="005D15D8"/>
    <w:rsid w:val="005D3820"/>
    <w:rsid w:val="005E29A7"/>
    <w:rsid w:val="005F5F05"/>
    <w:rsid w:val="006377A6"/>
    <w:rsid w:val="0066321D"/>
    <w:rsid w:val="00686FC2"/>
    <w:rsid w:val="006924C5"/>
    <w:rsid w:val="006A4839"/>
    <w:rsid w:val="006B4B4A"/>
    <w:rsid w:val="006B5D58"/>
    <w:rsid w:val="006C5ECA"/>
    <w:rsid w:val="007156CA"/>
    <w:rsid w:val="0075134C"/>
    <w:rsid w:val="00754BDF"/>
    <w:rsid w:val="00773BAA"/>
    <w:rsid w:val="00775B16"/>
    <w:rsid w:val="007871C9"/>
    <w:rsid w:val="007A0C8D"/>
    <w:rsid w:val="007A3E7B"/>
    <w:rsid w:val="007B2E07"/>
    <w:rsid w:val="007B36A5"/>
    <w:rsid w:val="007F31FE"/>
    <w:rsid w:val="00865459"/>
    <w:rsid w:val="00873160"/>
    <w:rsid w:val="008777B1"/>
    <w:rsid w:val="00884922"/>
    <w:rsid w:val="008A4157"/>
    <w:rsid w:val="008B2653"/>
    <w:rsid w:val="008D522C"/>
    <w:rsid w:val="008D7640"/>
    <w:rsid w:val="008E5C06"/>
    <w:rsid w:val="00903152"/>
    <w:rsid w:val="00913745"/>
    <w:rsid w:val="00914745"/>
    <w:rsid w:val="00944BDC"/>
    <w:rsid w:val="009529AF"/>
    <w:rsid w:val="0096796E"/>
    <w:rsid w:val="0097767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77A2E"/>
    <w:rsid w:val="00AC40C9"/>
    <w:rsid w:val="00AE4938"/>
    <w:rsid w:val="00AF3DCD"/>
    <w:rsid w:val="00AF76E1"/>
    <w:rsid w:val="00B46222"/>
    <w:rsid w:val="00B876CF"/>
    <w:rsid w:val="00BB539D"/>
    <w:rsid w:val="00BC226E"/>
    <w:rsid w:val="00C07E2D"/>
    <w:rsid w:val="00C16449"/>
    <w:rsid w:val="00C4376E"/>
    <w:rsid w:val="00C93378"/>
    <w:rsid w:val="00CA0F01"/>
    <w:rsid w:val="00CB3250"/>
    <w:rsid w:val="00CE0744"/>
    <w:rsid w:val="00D20EA5"/>
    <w:rsid w:val="00D349FF"/>
    <w:rsid w:val="00D37F35"/>
    <w:rsid w:val="00DA03EB"/>
    <w:rsid w:val="00DA218B"/>
    <w:rsid w:val="00DA5B87"/>
    <w:rsid w:val="00DD29C2"/>
    <w:rsid w:val="00DD430A"/>
    <w:rsid w:val="00DF2E44"/>
    <w:rsid w:val="00DF4F80"/>
    <w:rsid w:val="00E14182"/>
    <w:rsid w:val="00E268D9"/>
    <w:rsid w:val="00E30C8D"/>
    <w:rsid w:val="00E448CD"/>
    <w:rsid w:val="00EA31AA"/>
    <w:rsid w:val="00EB5E62"/>
    <w:rsid w:val="00EC65BC"/>
    <w:rsid w:val="00ED24C0"/>
    <w:rsid w:val="00EE0911"/>
    <w:rsid w:val="00F13C9C"/>
    <w:rsid w:val="00F204D4"/>
    <w:rsid w:val="00F20781"/>
    <w:rsid w:val="00F2274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284F"/>
  <w15:chartTrackingRefBased/>
  <w15:docId w15:val="{2F80C1B4-806E-624A-A406-9E135A0A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3608</Words>
  <Characters>22732</Characters>
  <Application>Microsoft Office Word</Application>
  <DocSecurity>0</DocSecurity>
  <Lines>189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3</cp:revision>
  <dcterms:created xsi:type="dcterms:W3CDTF">2020-02-22T11:12:00Z</dcterms:created>
  <dcterms:modified xsi:type="dcterms:W3CDTF">2020-02-22T15:59:00Z</dcterms:modified>
</cp:coreProperties>
</file>