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DE3" w:rsidRDefault="00E25DE3" w:rsidP="00E25DE3">
      <w:pPr>
        <w:snapToGrid w:val="0"/>
        <w:spacing w:line="276" w:lineRule="auto"/>
        <w:contextualSpacing/>
        <w:rPr>
          <w:rFonts w:ascii="Calibri" w:hAnsi="Calibri" w:cs="Calibri"/>
          <w:sz w:val="21"/>
          <w:szCs w:val="21"/>
          <w:lang w:val="de-DE"/>
        </w:rPr>
      </w:pPr>
      <w:r>
        <w:rPr>
          <w:rFonts w:ascii="Calibri" w:hAnsi="Calibri" w:cs="Calibri"/>
          <w:sz w:val="21"/>
          <w:szCs w:val="21"/>
          <w:lang w:val="de-DE"/>
        </w:rPr>
        <w:t>a) Selbstwertgefühl:</w:t>
      </w:r>
    </w:p>
    <w:p w:rsidR="00E25DE3"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59264" behindDoc="1" locked="0" layoutInCell="1" allowOverlap="1" wp14:anchorId="7853A113" wp14:editId="3B5755A8">
            <wp:simplePos x="0" y="0"/>
            <wp:positionH relativeFrom="column">
              <wp:posOffset>471805</wp:posOffset>
            </wp:positionH>
            <wp:positionV relativeFrom="page">
              <wp:posOffset>1436533</wp:posOffset>
            </wp:positionV>
            <wp:extent cx="3690000" cy="2811600"/>
            <wp:effectExtent l="12700" t="12700" r="18415" b="8255"/>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fworth trend linear.png"/>
                    <pic:cNvPicPr/>
                  </pic:nvPicPr>
                  <pic:blipFill>
                    <a:blip r:embed="rId5">
                      <a:extLst>
                        <a:ext uri="{28A0092B-C50C-407E-A947-70E740481C1C}">
                          <a14:useLocalDpi xmlns:a14="http://schemas.microsoft.com/office/drawing/2010/main" val="0"/>
                        </a:ext>
                      </a:extLst>
                    </a:blip>
                    <a:stretch>
                      <a:fillRect/>
                    </a:stretch>
                  </pic:blipFill>
                  <pic:spPr>
                    <a:xfrm>
                      <a:off x="0" y="0"/>
                      <a:ext cx="3690000" cy="2811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alibri" w:hAnsi="Calibri" w:cs="Calibri"/>
          <w:sz w:val="21"/>
          <w:szCs w:val="21"/>
          <w:lang w:val="de-DE"/>
        </w:rPr>
        <w:t>Die Variable „</w:t>
      </w:r>
      <w:proofErr w:type="spellStart"/>
      <w:r>
        <w:rPr>
          <w:rFonts w:ascii="Calibri" w:hAnsi="Calibri" w:cs="Calibri"/>
          <w:sz w:val="21"/>
          <w:szCs w:val="21"/>
          <w:lang w:val="de-DE"/>
        </w:rPr>
        <w:t>selfworth</w:t>
      </w:r>
      <w:proofErr w:type="spellEnd"/>
      <w:r>
        <w:rPr>
          <w:rFonts w:ascii="Calibri" w:hAnsi="Calibri" w:cs="Calibri"/>
          <w:sz w:val="21"/>
          <w:szCs w:val="21"/>
          <w:lang w:val="de-DE"/>
        </w:rPr>
        <w:t>“ misst, ob das Selbstwertgefühl der Kinder gestärkt wurde</w:t>
      </w:r>
    </w:p>
    <w:p w:rsidR="00E25DE3" w:rsidRDefault="00E25DE3" w:rsidP="00E25DE3">
      <w:pPr>
        <w:snapToGrid w:val="0"/>
        <w:spacing w:line="276" w:lineRule="auto"/>
        <w:rPr>
          <w:rFonts w:ascii="Calibri" w:hAnsi="Calibri" w:cs="Calibri"/>
          <w:sz w:val="21"/>
          <w:szCs w:val="21"/>
          <w:lang w:val="de-DE"/>
        </w:rPr>
      </w:pPr>
    </w:p>
    <w:p w:rsidR="00E25DE3" w:rsidRDefault="00E25DE3" w:rsidP="00E25DE3">
      <w:pPr>
        <w:snapToGrid w:val="0"/>
        <w:spacing w:line="276" w:lineRule="auto"/>
        <w:rPr>
          <w:rFonts w:ascii="Calibri" w:hAnsi="Calibri" w:cs="Calibri"/>
          <w:sz w:val="21"/>
          <w:szCs w:val="21"/>
          <w:lang w:val="de-DE"/>
        </w:rPr>
      </w:pPr>
    </w:p>
    <w:p w:rsidR="00E25DE3" w:rsidRPr="00CE0744" w:rsidRDefault="00E25DE3" w:rsidP="00E25DE3">
      <w:pPr>
        <w:snapToGrid w:val="0"/>
        <w:spacing w:line="276" w:lineRule="auto"/>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bookmarkStart w:id="0" w:name="_GoBack"/>
      <w:bookmarkEnd w:id="0"/>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Default="00E25DE3" w:rsidP="00E25DE3">
      <w:pPr>
        <w:snapToGrid w:val="0"/>
        <w:spacing w:line="276" w:lineRule="auto"/>
        <w:contextualSpacing/>
        <w:rPr>
          <w:rFonts w:ascii="Calibri" w:hAnsi="Calibri" w:cs="Calibri"/>
          <w:sz w:val="21"/>
          <w:szCs w:val="21"/>
          <w:lang w:val="de-DE"/>
        </w:rPr>
      </w:pPr>
    </w:p>
    <w:p w:rsidR="00E25DE3" w:rsidRPr="00CE0744"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D</w:t>
      </w:r>
      <w:r w:rsidRPr="00CE0744">
        <w:rPr>
          <w:rFonts w:ascii="Calibri" w:hAnsi="Calibri" w:cs="Calibri"/>
          <w:sz w:val="21"/>
          <w:szCs w:val="21"/>
          <w:lang w:val="de-DE"/>
        </w:rPr>
        <w:t>ie Variable „</w:t>
      </w:r>
      <w:proofErr w:type="spellStart"/>
      <w:r w:rsidRPr="00CE0744">
        <w:rPr>
          <w:rFonts w:ascii="Calibri" w:hAnsi="Calibri" w:cs="Calibri"/>
          <w:sz w:val="21"/>
          <w:szCs w:val="21"/>
          <w:lang w:val="de-DE"/>
        </w:rPr>
        <w:t>selfworth</w:t>
      </w:r>
      <w:proofErr w:type="spellEnd"/>
      <w:r w:rsidRPr="00CE0744">
        <w:rPr>
          <w:rFonts w:ascii="Calibri" w:hAnsi="Calibri" w:cs="Calibri"/>
          <w:sz w:val="21"/>
          <w:szCs w:val="21"/>
          <w:lang w:val="de-DE"/>
        </w:rPr>
        <w:t>“</w:t>
      </w:r>
      <w:r>
        <w:rPr>
          <w:rFonts w:ascii="Calibri" w:hAnsi="Calibri" w:cs="Calibri"/>
          <w:sz w:val="21"/>
          <w:szCs w:val="21"/>
          <w:lang w:val="de-DE"/>
        </w:rPr>
        <w:t xml:space="preserve"> ist</w:t>
      </w:r>
      <w:r w:rsidRPr="00CE0744">
        <w:rPr>
          <w:rFonts w:ascii="Calibri" w:hAnsi="Calibri" w:cs="Calibri"/>
          <w:sz w:val="21"/>
          <w:szCs w:val="21"/>
          <w:lang w:val="de-DE"/>
        </w:rPr>
        <w:t xml:space="preserve"> in der </w:t>
      </w:r>
      <w:proofErr w:type="spellStart"/>
      <w:r w:rsidRPr="00CE0744">
        <w:rPr>
          <w:rFonts w:ascii="Calibri" w:hAnsi="Calibri" w:cs="Calibri"/>
          <w:sz w:val="21"/>
          <w:szCs w:val="21"/>
          <w:lang w:val="de-DE"/>
        </w:rPr>
        <w:t>Treatmentgruppe</w:t>
      </w:r>
      <w:proofErr w:type="spellEnd"/>
      <w:r w:rsidRPr="00CE0744">
        <w:rPr>
          <w:rFonts w:ascii="Calibri" w:hAnsi="Calibri" w:cs="Calibri"/>
          <w:sz w:val="21"/>
          <w:szCs w:val="21"/>
          <w:lang w:val="de-DE"/>
        </w:rPr>
        <w:t xml:space="preserve"> über die Zeit gestiegen, wobei der lineare Trend statistisch signifikant und positiv ist</w:t>
      </w:r>
    </w:p>
    <w:p w:rsidR="00E25DE3"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In der Kontrollgruppe ist die Variable „</w:t>
      </w:r>
      <w:proofErr w:type="spellStart"/>
      <w:r>
        <w:rPr>
          <w:rFonts w:ascii="Calibri" w:hAnsi="Calibri" w:cs="Calibri"/>
          <w:sz w:val="21"/>
          <w:szCs w:val="21"/>
          <w:lang w:val="de-DE"/>
        </w:rPr>
        <w:t>selfworth</w:t>
      </w:r>
      <w:proofErr w:type="spellEnd"/>
      <w:r>
        <w:rPr>
          <w:rFonts w:ascii="Calibri" w:hAnsi="Calibri" w:cs="Calibri"/>
          <w:sz w:val="21"/>
          <w:szCs w:val="21"/>
          <w:lang w:val="de-DE"/>
        </w:rPr>
        <w:t>“ dagegen über die Zeit gesunken, allerdings ist der lineare Trend nicht statistisch signifikant</w:t>
      </w:r>
    </w:p>
    <w:p w:rsidR="00E25DE3" w:rsidRPr="00CE0744"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sz w:val="21"/>
          <w:szCs w:val="21"/>
          <w:lang w:val="de-DE"/>
        </w:rPr>
        <w:t>Die Grafik zeigt deutlich, dass zwischen der Treatment- und Kontrollgruppe ein signifikanter Unterschied bezüglich der Trends besteht</w:t>
      </w:r>
    </w:p>
    <w:p w:rsidR="00E25DE3" w:rsidRPr="00CE0744" w:rsidRDefault="00E25DE3" w:rsidP="00E25DE3">
      <w:pPr>
        <w:pStyle w:val="Listenabsatz"/>
        <w:numPr>
          <w:ilvl w:val="0"/>
          <w:numId w:val="2"/>
        </w:numPr>
        <w:snapToGrid w:val="0"/>
        <w:spacing w:line="276" w:lineRule="auto"/>
        <w:rPr>
          <w:rFonts w:ascii="Calibri" w:hAnsi="Calibri" w:cs="Calibri"/>
          <w:sz w:val="21"/>
          <w:szCs w:val="21"/>
          <w:lang w:val="de-DE"/>
        </w:rPr>
      </w:pPr>
      <w:r>
        <w:rPr>
          <w:rFonts w:ascii="Calibri" w:hAnsi="Calibri" w:cs="Calibri"/>
          <w:sz w:val="21"/>
          <w:szCs w:val="21"/>
          <w:lang w:val="de-DE"/>
        </w:rPr>
        <w:t>Dies impliziert, dass das Selbstwertgefühl von Kindern durch die Teilnahme einer Einrichtung am Entdeckerfonds positiv beeinflusst werden könnte</w:t>
      </w:r>
    </w:p>
    <w:p w:rsidR="00E25DE3" w:rsidRPr="00CE0744" w:rsidRDefault="00E25DE3" w:rsidP="00E25DE3">
      <w:pPr>
        <w:snapToGrid w:val="0"/>
        <w:spacing w:line="276" w:lineRule="auto"/>
        <w:contextualSpacing/>
        <w:rPr>
          <w:rFonts w:ascii="Calibri" w:hAnsi="Calibri" w:cs="Calibri"/>
          <w:sz w:val="21"/>
          <w:szCs w:val="21"/>
          <w:lang w:val="de-DE"/>
        </w:rPr>
      </w:pPr>
      <w:r w:rsidRPr="00CE0744">
        <w:rPr>
          <w:rFonts w:ascii="Calibri" w:hAnsi="Calibri" w:cs="Calibri"/>
          <w:sz w:val="21"/>
          <w:szCs w:val="21"/>
          <w:lang w:val="de-DE"/>
        </w:rPr>
        <w:t>b) Alltagskompetenzen:</w:t>
      </w:r>
    </w:p>
    <w:p w:rsidR="00E25DE3" w:rsidRPr="00CE0744" w:rsidRDefault="00E25DE3" w:rsidP="00E25DE3">
      <w:pPr>
        <w:pStyle w:val="Listenabsatz"/>
        <w:numPr>
          <w:ilvl w:val="0"/>
          <w:numId w:val="1"/>
        </w:numPr>
        <w:snapToGrid w:val="0"/>
        <w:spacing w:line="276" w:lineRule="auto"/>
        <w:rPr>
          <w:rFonts w:ascii="Calibri" w:hAnsi="Calibri" w:cs="Calibri"/>
          <w:sz w:val="21"/>
          <w:szCs w:val="21"/>
          <w:lang w:val="de-DE"/>
        </w:rPr>
      </w:pPr>
      <w:r>
        <w:rPr>
          <w:rFonts w:ascii="Calibri" w:hAnsi="Calibri" w:cs="Calibri"/>
          <w:noProof/>
          <w:sz w:val="21"/>
          <w:szCs w:val="21"/>
          <w:lang w:val="en-US"/>
        </w:rPr>
        <w:drawing>
          <wp:anchor distT="0" distB="0" distL="114300" distR="114300" simplePos="0" relativeHeight="251662336" behindDoc="1" locked="0" layoutInCell="1" allowOverlap="1" wp14:anchorId="207DDC55" wp14:editId="177A7B9A">
            <wp:simplePos x="0" y="0"/>
            <wp:positionH relativeFrom="column">
              <wp:posOffset>470535</wp:posOffset>
            </wp:positionH>
            <wp:positionV relativeFrom="page">
              <wp:posOffset>6427942</wp:posOffset>
            </wp:positionV>
            <wp:extent cx="3696970" cy="2720975"/>
            <wp:effectExtent l="12700" t="12700" r="11430" b="952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ToDaySkills.png"/>
                    <pic:cNvPicPr/>
                  </pic:nvPicPr>
                  <pic:blipFill>
                    <a:blip r:embed="rId6">
                      <a:extLst>
                        <a:ext uri="{28A0092B-C50C-407E-A947-70E740481C1C}">
                          <a14:useLocalDpi xmlns:a14="http://schemas.microsoft.com/office/drawing/2010/main" val="0"/>
                        </a:ext>
                      </a:extLst>
                    </a:blip>
                    <a:stretch>
                      <a:fillRect/>
                    </a:stretch>
                  </pic:blipFill>
                  <pic:spPr>
                    <a:xfrm>
                      <a:off x="0" y="0"/>
                      <a:ext cx="3696970" cy="2720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E0744">
        <w:rPr>
          <w:rFonts w:ascii="Calibri" w:hAnsi="Calibri" w:cs="Calibri"/>
          <w:sz w:val="21"/>
          <w:szCs w:val="21"/>
          <w:lang w:val="de-DE"/>
        </w:rPr>
        <w:t>Die Variable „</w:t>
      </w:r>
      <w:proofErr w:type="spellStart"/>
      <w:r w:rsidRPr="00CE0744">
        <w:rPr>
          <w:rFonts w:ascii="Calibri" w:hAnsi="Calibri" w:cs="Calibri"/>
          <w:sz w:val="21"/>
          <w:szCs w:val="21"/>
          <w:lang w:val="de-DE"/>
        </w:rPr>
        <w:t>dayToDaySkills</w:t>
      </w:r>
      <w:proofErr w:type="spellEnd"/>
      <w:r w:rsidRPr="00CE0744">
        <w:rPr>
          <w:rFonts w:ascii="Calibri" w:hAnsi="Calibri" w:cs="Calibri"/>
          <w:sz w:val="21"/>
          <w:szCs w:val="21"/>
          <w:lang w:val="de-DE"/>
        </w:rPr>
        <w:t>“ misst, ob die Allt</w:t>
      </w:r>
      <w:r>
        <w:rPr>
          <w:rFonts w:ascii="Calibri" w:hAnsi="Calibri" w:cs="Calibri"/>
          <w:sz w:val="21"/>
          <w:szCs w:val="21"/>
          <w:lang w:val="de-DE"/>
        </w:rPr>
        <w:t>agskompetenzen der Kinder verbessert wurden</w:t>
      </w: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CE0744" w:rsidRDefault="00E25DE3" w:rsidP="00E25DE3">
      <w:pPr>
        <w:spacing w:line="276" w:lineRule="auto"/>
        <w:rPr>
          <w:rFonts w:ascii="Calibri" w:hAnsi="Calibri" w:cs="Calibri"/>
          <w:sz w:val="21"/>
          <w:szCs w:val="21"/>
          <w:lang w:val="de-DE"/>
        </w:rPr>
      </w:pPr>
    </w:p>
    <w:p w:rsidR="00E25DE3" w:rsidRPr="00566DF2" w:rsidRDefault="00E25DE3" w:rsidP="00E25DE3">
      <w:pPr>
        <w:pStyle w:val="Listenabsatz"/>
        <w:numPr>
          <w:ilvl w:val="0"/>
          <w:numId w:val="1"/>
        </w:numPr>
        <w:spacing w:line="276" w:lineRule="auto"/>
        <w:rPr>
          <w:rFonts w:ascii="Calibri" w:hAnsi="Calibri" w:cs="Calibri"/>
          <w:sz w:val="21"/>
          <w:szCs w:val="21"/>
          <w:lang w:val="de-DE"/>
        </w:rPr>
      </w:pPr>
      <w:r w:rsidRPr="00566DF2">
        <w:rPr>
          <w:rFonts w:ascii="Calibri" w:hAnsi="Calibri" w:cs="Calibri"/>
          <w:sz w:val="21"/>
          <w:szCs w:val="21"/>
          <w:lang w:val="de-DE"/>
        </w:rPr>
        <w:t>Die Variable „</w:t>
      </w:r>
      <w:proofErr w:type="spellStart"/>
      <w:r w:rsidRPr="00566DF2">
        <w:rPr>
          <w:rFonts w:ascii="Calibri" w:hAnsi="Calibri" w:cs="Calibri"/>
          <w:sz w:val="21"/>
          <w:szCs w:val="21"/>
          <w:lang w:val="de-DE"/>
        </w:rPr>
        <w:t>dayToDaySkills</w:t>
      </w:r>
      <w:proofErr w:type="spellEnd"/>
      <w:r w:rsidRPr="00566DF2">
        <w:rPr>
          <w:rFonts w:ascii="Calibri" w:hAnsi="Calibri" w:cs="Calibri"/>
          <w:sz w:val="21"/>
          <w:szCs w:val="21"/>
          <w:lang w:val="de-DE"/>
        </w:rPr>
        <w:t xml:space="preserve">“ ist in der </w:t>
      </w:r>
      <w:proofErr w:type="spellStart"/>
      <w:r w:rsidRPr="00566DF2">
        <w:rPr>
          <w:rFonts w:ascii="Calibri" w:hAnsi="Calibri" w:cs="Calibri"/>
          <w:sz w:val="21"/>
          <w:szCs w:val="21"/>
          <w:lang w:val="de-DE"/>
        </w:rPr>
        <w:t>Treatmentgruppe</w:t>
      </w:r>
      <w:proofErr w:type="spellEnd"/>
      <w:r>
        <w:rPr>
          <w:rFonts w:ascii="Calibri" w:hAnsi="Calibri" w:cs="Calibri"/>
          <w:sz w:val="21"/>
          <w:szCs w:val="21"/>
          <w:lang w:val="de-DE"/>
        </w:rPr>
        <w:t xml:space="preserve"> über die Zeit konstant geblieben, sodass der lineare Trend weder positiv noch negativ ist</w:t>
      </w:r>
    </w:p>
    <w:p w:rsidR="00E25DE3" w:rsidRPr="00566DF2"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lastRenderedPageBreak/>
        <w:t>In der Kontrollgruppe ist die Variable „</w:t>
      </w:r>
      <w:proofErr w:type="spellStart"/>
      <w:r>
        <w:rPr>
          <w:rFonts w:ascii="Calibri" w:hAnsi="Calibri" w:cs="Calibri"/>
          <w:sz w:val="21"/>
          <w:szCs w:val="21"/>
          <w:lang w:val="de-DE"/>
        </w:rPr>
        <w:t>dayToDaySkills</w:t>
      </w:r>
      <w:proofErr w:type="spellEnd"/>
      <w:r>
        <w:rPr>
          <w:rFonts w:ascii="Calibri" w:hAnsi="Calibri" w:cs="Calibri"/>
          <w:sz w:val="21"/>
          <w:szCs w:val="21"/>
          <w:lang w:val="de-DE"/>
        </w:rPr>
        <w:t>“ dagegen über die Zeit gesunken, wobei der lineare Trend negativ und statistisch signifikant ist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Grafik zeigt, dass zwischen der Treatment- und Kontrollgruppe ein signifikanter Unterschied bezüglich des Trends in der Variablen „</w:t>
      </w:r>
      <w:proofErr w:type="spellStart"/>
      <w:r>
        <w:rPr>
          <w:rFonts w:ascii="Calibri" w:hAnsi="Calibri" w:cs="Calibri"/>
          <w:sz w:val="21"/>
          <w:szCs w:val="21"/>
          <w:lang w:val="de-DE"/>
        </w:rPr>
        <w:t>dayToDaySkills</w:t>
      </w:r>
      <w:proofErr w:type="spellEnd"/>
      <w:r>
        <w:rPr>
          <w:rFonts w:ascii="Calibri" w:hAnsi="Calibri" w:cs="Calibri"/>
          <w:sz w:val="21"/>
          <w:szCs w:val="21"/>
          <w:lang w:val="de-DE"/>
        </w:rPr>
        <w:t>“ besteht</w:t>
      </w:r>
    </w:p>
    <w:p w:rsidR="00E25DE3" w:rsidRPr="00566DF2"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Dies impliziert, dass die Alltagskompetenzen von Kindern durch die Teilnahme einer Einrichtung am Entdeckerfonds positiv beeinflusst werden könnten bzw. dass die Alltagskompetenzen von Kindern sinken, wenn eine Einrichtung nicht am Entdeckerfonds teilnimmt</w:t>
      </w:r>
    </w:p>
    <w:p w:rsidR="00E25DE3" w:rsidRDefault="00E25DE3" w:rsidP="00E25DE3">
      <w:pPr>
        <w:spacing w:line="276" w:lineRule="auto"/>
        <w:rPr>
          <w:rFonts w:ascii="Calibri" w:hAnsi="Calibri" w:cs="Calibri"/>
          <w:sz w:val="21"/>
          <w:szCs w:val="21"/>
          <w:lang w:val="de-DE"/>
        </w:rPr>
      </w:pPr>
      <w:r>
        <w:rPr>
          <w:rFonts w:ascii="Calibri" w:hAnsi="Calibri" w:cs="Calibri"/>
          <w:sz w:val="21"/>
          <w:szCs w:val="21"/>
          <w:lang w:val="de-DE"/>
        </w:rPr>
        <w:t>c) Placebo-Test: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Dieselbe Vorgehensweise wurde mit Variablen</w:t>
      </w:r>
      <w:r w:rsidRPr="00566DF2">
        <w:rPr>
          <w:rFonts w:ascii="Calibri" w:hAnsi="Calibri" w:cs="Calibri"/>
          <w:sz w:val="21"/>
          <w:szCs w:val="21"/>
          <w:lang w:val="de-DE"/>
        </w:rPr>
        <w:t xml:space="preserve"> </w:t>
      </w:r>
      <w:r>
        <w:rPr>
          <w:rFonts w:ascii="Calibri" w:hAnsi="Calibri" w:cs="Calibri"/>
          <w:sz w:val="21"/>
          <w:szCs w:val="21"/>
          <w:lang w:val="de-DE"/>
        </w:rPr>
        <w:t>durchgeführt, welche nicht von dem Entdeckerfonds beeinflusst werden können, sondern nur sich nur auf den Mittagstisch beziehen</w:t>
      </w:r>
    </w:p>
    <w:p w:rsidR="00E25DE3" w:rsidRPr="00F51485" w:rsidRDefault="00E25DE3" w:rsidP="00E25DE3">
      <w:pPr>
        <w:pStyle w:val="Listenabsatz"/>
        <w:numPr>
          <w:ilvl w:val="0"/>
          <w:numId w:val="1"/>
        </w:numPr>
        <w:spacing w:line="276" w:lineRule="auto"/>
        <w:rPr>
          <w:rFonts w:ascii="Calibri" w:hAnsi="Calibri" w:cs="Calibri"/>
          <w:sz w:val="21"/>
          <w:szCs w:val="21"/>
          <w:lang w:val="de-DE"/>
        </w:rPr>
      </w:pPr>
      <w:r w:rsidRPr="00F51485">
        <w:rPr>
          <w:rFonts w:ascii="Calibri" w:hAnsi="Calibri" w:cs="Calibri"/>
          <w:sz w:val="21"/>
          <w:szCs w:val="21"/>
          <w:lang w:val="de-DE"/>
        </w:rPr>
        <w:t>Die Variablen „</w:t>
      </w:r>
      <w:proofErr w:type="spellStart"/>
      <w:r w:rsidRPr="00F51485">
        <w:rPr>
          <w:rFonts w:ascii="Calibri" w:hAnsi="Calibri" w:cs="Calibri"/>
          <w:sz w:val="21"/>
          <w:szCs w:val="21"/>
          <w:lang w:val="de-DE"/>
        </w:rPr>
        <w:t>weeklyCooks</w:t>
      </w:r>
      <w:proofErr w:type="spellEnd"/>
      <w:r w:rsidRPr="00F51485">
        <w:rPr>
          <w:rFonts w:ascii="Calibri" w:hAnsi="Calibri" w:cs="Calibri"/>
          <w:sz w:val="21"/>
          <w:szCs w:val="21"/>
          <w:lang w:val="de-DE"/>
        </w:rPr>
        <w:t>“ bzw. “</w:t>
      </w:r>
      <w:proofErr w:type="spellStart"/>
      <w:r w:rsidRPr="00F51485">
        <w:rPr>
          <w:rFonts w:ascii="Calibri" w:hAnsi="Calibri" w:cs="Calibri"/>
          <w:sz w:val="21"/>
          <w:szCs w:val="21"/>
          <w:lang w:val="de-DE"/>
        </w:rPr>
        <w:t>monthlyCooks</w:t>
      </w:r>
      <w:proofErr w:type="spellEnd"/>
      <w:r w:rsidRPr="00F51485">
        <w:rPr>
          <w:rFonts w:ascii="Calibri" w:hAnsi="Calibri" w:cs="Calibri"/>
          <w:sz w:val="21"/>
          <w:szCs w:val="21"/>
          <w:lang w:val="de-DE"/>
        </w:rPr>
        <w:t>”</w:t>
      </w:r>
      <w:r>
        <w:rPr>
          <w:rFonts w:ascii="Calibri" w:hAnsi="Calibri" w:cs="Calibri"/>
          <w:sz w:val="21"/>
          <w:szCs w:val="21"/>
          <w:lang w:val="de-DE"/>
        </w:rPr>
        <w:t>, ob die Kinder mindestens einmal in der Woche bzw. im Monat selbst in der Einrichtung kochen</w:t>
      </w:r>
    </w:p>
    <w:p w:rsidR="00E25DE3" w:rsidRDefault="00E25DE3" w:rsidP="00E25DE3">
      <w:pPr>
        <w:pStyle w:val="Listenabsatz"/>
        <w:numPr>
          <w:ilvl w:val="0"/>
          <w:numId w:val="1"/>
        </w:numPr>
        <w:spacing w:line="276" w:lineRule="auto"/>
        <w:rPr>
          <w:rFonts w:ascii="Calibri" w:hAnsi="Calibri" w:cs="Calibri"/>
          <w:sz w:val="21"/>
          <w:szCs w:val="21"/>
          <w:lang w:val="de-DE"/>
        </w:rPr>
      </w:pPr>
      <w:r w:rsidRPr="005C30B4">
        <w:rPr>
          <w:rFonts w:ascii="Calibri" w:hAnsi="Calibri" w:cs="Calibri"/>
          <w:sz w:val="21"/>
          <w:szCs w:val="21"/>
          <w:lang w:val="de-DE"/>
        </w:rPr>
        <w:t xml:space="preserve">Erwartung: </w:t>
      </w:r>
      <w:r>
        <w:rPr>
          <w:rFonts w:ascii="Calibri" w:hAnsi="Calibri" w:cs="Calibri"/>
          <w:sz w:val="21"/>
          <w:szCs w:val="21"/>
          <w:lang w:val="de-DE"/>
        </w:rPr>
        <w:t>Zwischen der Treatment- und Kontrollgruppe sollten keine signifikanten Unterschiede in den Variablen „</w:t>
      </w:r>
      <w:proofErr w:type="spellStart"/>
      <w:r>
        <w:rPr>
          <w:rFonts w:ascii="Calibri" w:hAnsi="Calibri" w:cs="Calibri"/>
          <w:sz w:val="21"/>
          <w:szCs w:val="21"/>
          <w:lang w:val="de-DE"/>
        </w:rPr>
        <w:t>weeklyCooks</w:t>
      </w:r>
      <w:proofErr w:type="spellEnd"/>
      <w:r>
        <w:rPr>
          <w:rFonts w:ascii="Calibri" w:hAnsi="Calibri" w:cs="Calibri"/>
          <w:sz w:val="21"/>
          <w:szCs w:val="21"/>
          <w:lang w:val="de-DE"/>
        </w:rPr>
        <w:t>“ und „</w:t>
      </w:r>
      <w:proofErr w:type="spellStart"/>
      <w:r>
        <w:rPr>
          <w:rFonts w:ascii="Calibri" w:hAnsi="Calibri" w:cs="Calibri"/>
          <w:sz w:val="21"/>
          <w:szCs w:val="21"/>
          <w:lang w:val="de-DE"/>
        </w:rPr>
        <w:t>monthlyCooks</w:t>
      </w:r>
      <w:proofErr w:type="spellEnd"/>
      <w:r>
        <w:rPr>
          <w:rFonts w:ascii="Calibri" w:hAnsi="Calibri" w:cs="Calibri"/>
          <w:sz w:val="21"/>
          <w:szCs w:val="21"/>
          <w:lang w:val="de-DE"/>
        </w:rPr>
        <w:t>“ bestehen, da diese Variablen nicht vom Entdeckerfonds beeinflusst werden können, sondern nur vom Mittagstisch</w:t>
      </w:r>
    </w:p>
    <w:p w:rsidR="00E25DE3" w:rsidRPr="00F51485" w:rsidRDefault="00E25DE3" w:rsidP="00E25DE3">
      <w:pPr>
        <w:spacing w:line="276" w:lineRule="auto"/>
        <w:rPr>
          <w:rFonts w:ascii="Calibri" w:hAnsi="Calibri" w:cs="Calibri"/>
          <w:sz w:val="21"/>
          <w:szCs w:val="21"/>
          <w:lang w:val="de-DE"/>
        </w:rPr>
      </w:pPr>
      <w:r>
        <w:rPr>
          <w:rFonts w:ascii="Calibri" w:hAnsi="Calibri" w:cs="Calibri"/>
          <w:noProof/>
          <w:sz w:val="21"/>
          <w:szCs w:val="21"/>
          <w:lang w:val="de-DE"/>
        </w:rPr>
        <w:drawing>
          <wp:anchor distT="0" distB="0" distL="114300" distR="114300" simplePos="0" relativeHeight="251660288" behindDoc="1" locked="0" layoutInCell="1" allowOverlap="1" wp14:anchorId="50E48ACD" wp14:editId="6AADBBBA">
            <wp:simplePos x="0" y="0"/>
            <wp:positionH relativeFrom="column">
              <wp:posOffset>-760567</wp:posOffset>
            </wp:positionH>
            <wp:positionV relativeFrom="page">
              <wp:posOffset>4033520</wp:posOffset>
            </wp:positionV>
            <wp:extent cx="3585210" cy="2731770"/>
            <wp:effectExtent l="12700" t="12700" r="8890" b="1143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cebo weeklyCooks linear trend.png"/>
                    <pic:cNvPicPr/>
                  </pic:nvPicPr>
                  <pic:blipFill>
                    <a:blip r:embed="rId7">
                      <a:extLst>
                        <a:ext uri="{28A0092B-C50C-407E-A947-70E740481C1C}">
                          <a14:useLocalDpi xmlns:a14="http://schemas.microsoft.com/office/drawing/2010/main" val="0"/>
                        </a:ext>
                      </a:extLst>
                    </a:blip>
                    <a:stretch>
                      <a:fillRect/>
                    </a:stretch>
                  </pic:blipFill>
                  <pic:spPr>
                    <a:xfrm>
                      <a:off x="0" y="0"/>
                      <a:ext cx="3585210" cy="273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1"/>
          <w:szCs w:val="21"/>
          <w:lang w:val="de-DE"/>
        </w:rPr>
        <w:drawing>
          <wp:anchor distT="0" distB="0" distL="114300" distR="114300" simplePos="0" relativeHeight="251661312" behindDoc="1" locked="0" layoutInCell="1" allowOverlap="1" wp14:anchorId="2607C5EF" wp14:editId="134122DD">
            <wp:simplePos x="0" y="0"/>
            <wp:positionH relativeFrom="column">
              <wp:posOffset>2940848</wp:posOffset>
            </wp:positionH>
            <wp:positionV relativeFrom="page">
              <wp:posOffset>4034155</wp:posOffset>
            </wp:positionV>
            <wp:extent cx="3581400" cy="2731770"/>
            <wp:effectExtent l="12700" t="12700" r="12700" b="11430"/>
            <wp:wrapNone/>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bo monthlyCooks trend linear.png"/>
                    <pic:cNvPicPr/>
                  </pic:nvPicPr>
                  <pic:blipFill>
                    <a:blip r:embed="rId8">
                      <a:extLst>
                        <a:ext uri="{28A0092B-C50C-407E-A947-70E740481C1C}">
                          <a14:useLocalDpi xmlns:a14="http://schemas.microsoft.com/office/drawing/2010/main" val="0"/>
                        </a:ext>
                      </a:extLst>
                    </a:blip>
                    <a:stretch>
                      <a:fillRect/>
                    </a:stretch>
                  </pic:blipFill>
                  <pic:spPr>
                    <a:xfrm>
                      <a:off x="0" y="0"/>
                      <a:ext cx="3581400" cy="273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Pr="00F51485" w:rsidRDefault="00E25DE3" w:rsidP="00E25DE3">
      <w:pPr>
        <w:spacing w:line="276" w:lineRule="auto"/>
        <w:rPr>
          <w:rFonts w:ascii="Calibri" w:hAnsi="Calibri" w:cs="Calibri"/>
          <w:sz w:val="21"/>
          <w:szCs w:val="21"/>
          <w:lang w:val="de-DE"/>
        </w:rPr>
      </w:pP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linke Grafik zeigt, dass die Variable „</w:t>
      </w:r>
      <w:proofErr w:type="spellStart"/>
      <w:r>
        <w:rPr>
          <w:rFonts w:ascii="Calibri" w:hAnsi="Calibri" w:cs="Calibri"/>
          <w:sz w:val="21"/>
          <w:szCs w:val="21"/>
          <w:lang w:val="de-DE"/>
        </w:rPr>
        <w:t>weeklyCooks</w:t>
      </w:r>
      <w:proofErr w:type="spellEnd"/>
      <w:r>
        <w:rPr>
          <w:rFonts w:ascii="Calibri" w:hAnsi="Calibri" w:cs="Calibri"/>
          <w:sz w:val="21"/>
          <w:szCs w:val="21"/>
          <w:lang w:val="de-DE"/>
        </w:rPr>
        <w:t xml:space="preserve">“ in der </w:t>
      </w:r>
      <w:proofErr w:type="spellStart"/>
      <w:r>
        <w:rPr>
          <w:rFonts w:ascii="Calibri" w:hAnsi="Calibri" w:cs="Calibri"/>
          <w:sz w:val="21"/>
          <w:szCs w:val="21"/>
          <w:lang w:val="de-DE"/>
        </w:rPr>
        <w:t>Treatmentgruppe</w:t>
      </w:r>
      <w:proofErr w:type="spellEnd"/>
      <w:r>
        <w:rPr>
          <w:rFonts w:ascii="Calibri" w:hAnsi="Calibri" w:cs="Calibri"/>
          <w:sz w:val="21"/>
          <w:szCs w:val="21"/>
          <w:lang w:val="de-DE"/>
        </w:rPr>
        <w:t xml:space="preserve"> über die Zeit konstant ist und in der Kontrollgruppe steigt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Somit besteht zwar ein Unterschied in den Trends, allerdings entwickeln sich Einrichtungen mit dem Entdeckerfonds nicht besser als Einrichtungen ohne Entdeckerfonds, sondern sogar umgekehrt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rechte Grafik zeigt, dass die Variable „</w:t>
      </w:r>
      <w:proofErr w:type="spellStart"/>
      <w:r>
        <w:rPr>
          <w:rFonts w:ascii="Calibri" w:hAnsi="Calibri" w:cs="Calibri"/>
          <w:sz w:val="21"/>
          <w:szCs w:val="21"/>
          <w:lang w:val="de-DE"/>
        </w:rPr>
        <w:t>monthlyCooks</w:t>
      </w:r>
      <w:proofErr w:type="spellEnd"/>
      <w:r>
        <w:rPr>
          <w:rFonts w:ascii="Calibri" w:hAnsi="Calibri" w:cs="Calibri"/>
          <w:sz w:val="21"/>
          <w:szCs w:val="21"/>
          <w:lang w:val="de-DE"/>
        </w:rPr>
        <w:t xml:space="preserve">“ in der </w:t>
      </w:r>
      <w:proofErr w:type="spellStart"/>
      <w:r>
        <w:rPr>
          <w:rFonts w:ascii="Calibri" w:hAnsi="Calibri" w:cs="Calibri"/>
          <w:sz w:val="21"/>
          <w:szCs w:val="21"/>
          <w:lang w:val="de-DE"/>
        </w:rPr>
        <w:t>Treatmentgruppe</w:t>
      </w:r>
      <w:proofErr w:type="spellEnd"/>
      <w:r>
        <w:rPr>
          <w:rFonts w:ascii="Calibri" w:hAnsi="Calibri" w:cs="Calibri"/>
          <w:sz w:val="21"/>
          <w:szCs w:val="21"/>
          <w:lang w:val="de-DE"/>
        </w:rPr>
        <w:t xml:space="preserve"> über die Zeit ebenfalls konstant ist und in der Kontrollgruppe steigt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Auch hier besteht zwar wieder ein Unterschied in den Trends, allerdings entwickeln sich Einrichtungen mit dem Entdeckerfonds auch in dieser Variablen nicht besser als Einrichtungen ohne Entdeckerfonds</w:t>
      </w:r>
    </w:p>
    <w:p w:rsidR="00E25DE3"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Das Treatment „Entdeckerfonds“ besitzt somit keinen Effekt auf die Variablen „</w:t>
      </w:r>
      <w:proofErr w:type="spellStart"/>
      <w:r>
        <w:rPr>
          <w:rFonts w:ascii="Calibri" w:hAnsi="Calibri" w:cs="Calibri"/>
          <w:sz w:val="21"/>
          <w:szCs w:val="21"/>
          <w:lang w:val="de-DE"/>
        </w:rPr>
        <w:t>weeklyCooks</w:t>
      </w:r>
      <w:proofErr w:type="spellEnd"/>
      <w:r>
        <w:rPr>
          <w:rFonts w:ascii="Calibri" w:hAnsi="Calibri" w:cs="Calibri"/>
          <w:sz w:val="21"/>
          <w:szCs w:val="21"/>
          <w:lang w:val="de-DE"/>
        </w:rPr>
        <w:t>“ und „</w:t>
      </w:r>
      <w:proofErr w:type="spellStart"/>
      <w:r>
        <w:rPr>
          <w:rFonts w:ascii="Calibri" w:hAnsi="Calibri" w:cs="Calibri"/>
          <w:sz w:val="21"/>
          <w:szCs w:val="21"/>
          <w:lang w:val="de-DE"/>
        </w:rPr>
        <w:t>monthlyCooks</w:t>
      </w:r>
      <w:proofErr w:type="spellEnd"/>
      <w:r>
        <w:rPr>
          <w:rFonts w:ascii="Calibri" w:hAnsi="Calibri" w:cs="Calibri"/>
          <w:sz w:val="21"/>
          <w:szCs w:val="21"/>
          <w:lang w:val="de-DE"/>
        </w:rPr>
        <w:t>“</w:t>
      </w:r>
    </w:p>
    <w:p w:rsidR="00E25DE3" w:rsidRDefault="00E25DE3" w:rsidP="00E25DE3">
      <w:pPr>
        <w:pStyle w:val="Listenabsatz"/>
        <w:numPr>
          <w:ilvl w:val="0"/>
          <w:numId w:val="1"/>
        </w:numPr>
        <w:spacing w:line="276" w:lineRule="auto"/>
        <w:rPr>
          <w:rFonts w:ascii="Calibri" w:hAnsi="Calibri" w:cs="Calibri"/>
          <w:sz w:val="21"/>
          <w:szCs w:val="21"/>
          <w:lang w:val="de-DE"/>
        </w:rPr>
      </w:pPr>
      <w:r>
        <w:rPr>
          <w:rFonts w:ascii="Calibri" w:hAnsi="Calibri" w:cs="Calibri"/>
          <w:sz w:val="21"/>
          <w:szCs w:val="21"/>
          <w:lang w:val="de-DE"/>
        </w:rPr>
        <w:t>Die Resultate bestätigen die Erwartung und erscheinen plausibel, da die beiden Variablen nicht vom Entdeckerfonds beeinflusst werden, sondern nur vom Mittagstisch</w:t>
      </w:r>
    </w:p>
    <w:p w:rsidR="00E25DE3" w:rsidRDefault="00E25DE3" w:rsidP="00E25DE3">
      <w:pPr>
        <w:pStyle w:val="Listenabsatz"/>
        <w:spacing w:line="276" w:lineRule="auto"/>
        <w:rPr>
          <w:rFonts w:ascii="Calibri" w:hAnsi="Calibri" w:cs="Calibri"/>
          <w:sz w:val="21"/>
          <w:szCs w:val="21"/>
          <w:lang w:val="de-DE"/>
        </w:rPr>
      </w:pPr>
    </w:p>
    <w:p w:rsidR="00E25DE3"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lastRenderedPageBreak/>
        <w:t>Die Placebo-Tests zeigen, dass das Treatment (= Entdeckerfonds) auch nur die relevanten Variablen beeinflusst</w:t>
      </w:r>
    </w:p>
    <w:p w:rsidR="00E25DE3" w:rsidRPr="00A34CBF" w:rsidRDefault="00E25DE3" w:rsidP="00E25DE3">
      <w:pPr>
        <w:pStyle w:val="Listenabsatz"/>
        <w:numPr>
          <w:ilvl w:val="0"/>
          <w:numId w:val="2"/>
        </w:numPr>
        <w:spacing w:line="276" w:lineRule="auto"/>
        <w:rPr>
          <w:rFonts w:ascii="Calibri" w:hAnsi="Calibri" w:cs="Calibri"/>
          <w:sz w:val="21"/>
          <w:szCs w:val="21"/>
          <w:lang w:val="de-DE"/>
        </w:rPr>
      </w:pPr>
      <w:r>
        <w:rPr>
          <w:rFonts w:ascii="Calibri" w:hAnsi="Calibri" w:cs="Calibri"/>
          <w:sz w:val="21"/>
          <w:szCs w:val="21"/>
          <w:lang w:val="de-DE"/>
        </w:rPr>
        <w:t xml:space="preserve">Die Placebo-Tests erhöhen somit die Wahrscheinlichkeit dafür, dass </w:t>
      </w:r>
      <w:proofErr w:type="gramStart"/>
      <w:r>
        <w:rPr>
          <w:rFonts w:ascii="Calibri" w:hAnsi="Calibri" w:cs="Calibri"/>
          <w:sz w:val="21"/>
          <w:szCs w:val="21"/>
          <w:lang w:val="de-DE"/>
        </w:rPr>
        <w:t>kein anderen Gründen</w:t>
      </w:r>
      <w:proofErr w:type="gramEnd"/>
      <w:r>
        <w:rPr>
          <w:rFonts w:ascii="Calibri" w:hAnsi="Calibri" w:cs="Calibri"/>
          <w:sz w:val="21"/>
          <w:szCs w:val="21"/>
          <w:lang w:val="de-DE"/>
        </w:rPr>
        <w:t xml:space="preserve"> als der Entdeckerfonds für die Entwicklung der relevanten Variablen in Treatment- und Kontrollgruppe verantwortlich sind</w:t>
      </w:r>
    </w:p>
    <w:p w:rsidR="00142B09" w:rsidRDefault="00142B09"/>
    <w:sectPr w:rsidR="00142B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142B09"/>
    <w:rsid w:val="00823FE0"/>
    <w:rsid w:val="00AF76E1"/>
    <w:rsid w:val="00E25D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875B"/>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2931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2</cp:revision>
  <dcterms:created xsi:type="dcterms:W3CDTF">2020-02-21T21:38:00Z</dcterms:created>
  <dcterms:modified xsi:type="dcterms:W3CDTF">2020-02-21T23:58:00Z</dcterms:modified>
</cp:coreProperties>
</file>