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E2B" w:rsidRPr="00BA5B89" w:rsidRDefault="00346E2B">
      <w:proofErr w:type="spellStart"/>
      <w:r w:rsidRPr="00BA5B89">
        <w:t>Ideen</w:t>
      </w:r>
      <w:proofErr w:type="spellEnd"/>
      <w:r w:rsidRPr="00BA5B89">
        <w:t xml:space="preserve"> </w:t>
      </w:r>
      <w:proofErr w:type="spellStart"/>
      <w:r w:rsidRPr="00BA5B89">
        <w:t>Einleitung</w:t>
      </w:r>
      <w:proofErr w:type="spellEnd"/>
      <w:r w:rsidRPr="00BA5B89">
        <w:t>:</w:t>
      </w:r>
    </w:p>
    <w:p w:rsidR="00346E2B" w:rsidRPr="00BA5B89" w:rsidRDefault="00346E2B">
      <w:proofErr w:type="spellStart"/>
      <w:r w:rsidRPr="00BA5B89">
        <w:t>Bisher</w:t>
      </w:r>
      <w:proofErr w:type="spellEnd"/>
      <w:r w:rsidRPr="00BA5B89">
        <w:t xml:space="preserve">: </w:t>
      </w:r>
      <w:proofErr w:type="spellStart"/>
      <w:r w:rsidRPr="00BA5B89">
        <w:t>Soziale</w:t>
      </w:r>
      <w:proofErr w:type="spellEnd"/>
      <w:r w:rsidRPr="00BA5B89">
        <w:t xml:space="preserve"> Arbeit </w:t>
      </w:r>
      <w:proofErr w:type="spellStart"/>
      <w:r w:rsidRPr="00BA5B89">
        <w:t>mit</w:t>
      </w:r>
      <w:proofErr w:type="spellEnd"/>
      <w:r w:rsidRPr="00BA5B89">
        <w:t xml:space="preserve"> </w:t>
      </w:r>
      <w:proofErr w:type="spellStart"/>
      <w:r w:rsidRPr="00BA5B89">
        <w:t>wenig</w:t>
      </w:r>
      <w:proofErr w:type="spellEnd"/>
      <w:r w:rsidRPr="00BA5B89">
        <w:t xml:space="preserve"> </w:t>
      </w:r>
      <w:proofErr w:type="spellStart"/>
      <w:r w:rsidRPr="00BA5B89">
        <w:t>Wirkungsmessung</w:t>
      </w:r>
      <w:proofErr w:type="spellEnd"/>
    </w:p>
    <w:p w:rsidR="00346E2B" w:rsidRPr="00BA5B89" w:rsidRDefault="005E0919" w:rsidP="005E0919">
      <w:pPr>
        <w:pStyle w:val="Listenabsatz"/>
        <w:numPr>
          <w:ilvl w:val="0"/>
          <w:numId w:val="1"/>
        </w:numPr>
      </w:pPr>
      <w:proofErr w:type="spellStart"/>
      <w:r w:rsidRPr="00BA5B89">
        <w:t>Hauptsächlich</w:t>
      </w:r>
      <w:proofErr w:type="spellEnd"/>
      <w:r w:rsidRPr="00BA5B89">
        <w:t xml:space="preserve"> </w:t>
      </w:r>
      <w:proofErr w:type="spellStart"/>
      <w:r w:rsidRPr="00BA5B89">
        <w:t>deskriptiv</w:t>
      </w:r>
      <w:proofErr w:type="spellEnd"/>
      <w:r w:rsidRPr="00BA5B89">
        <w:t xml:space="preserve"> </w:t>
      </w:r>
      <w:proofErr w:type="spellStart"/>
      <w:r w:rsidRPr="00BA5B89">
        <w:t>bisher</w:t>
      </w:r>
      <w:proofErr w:type="spellEnd"/>
      <w:r w:rsidRPr="00BA5B89">
        <w:t xml:space="preserve"> (</w:t>
      </w:r>
      <w:proofErr w:type="spellStart"/>
      <w:r w:rsidRPr="00BA5B89">
        <w:t>Literatur</w:t>
      </w:r>
      <w:proofErr w:type="spellEnd"/>
      <w:r w:rsidRPr="00BA5B89">
        <w:t>?)</w:t>
      </w:r>
    </w:p>
    <w:p w:rsidR="005E0919" w:rsidRPr="00BA5B89" w:rsidRDefault="005E0919" w:rsidP="005E0919">
      <w:pPr>
        <w:pStyle w:val="Listenabsatz"/>
        <w:numPr>
          <w:ilvl w:val="0"/>
          <w:numId w:val="1"/>
        </w:numPr>
      </w:pPr>
      <w:proofErr w:type="spellStart"/>
      <w:r w:rsidRPr="00BA5B89">
        <w:t>Bisher</w:t>
      </w:r>
      <w:proofErr w:type="spellEnd"/>
      <w:r w:rsidRPr="00BA5B89">
        <w:t xml:space="preserve"> </w:t>
      </w:r>
      <w:proofErr w:type="spellStart"/>
      <w:r w:rsidRPr="00BA5B89">
        <w:t>verwendete</w:t>
      </w:r>
      <w:proofErr w:type="spellEnd"/>
      <w:r w:rsidRPr="00BA5B89">
        <w:t xml:space="preserve"> </w:t>
      </w:r>
      <w:proofErr w:type="spellStart"/>
      <w:r w:rsidRPr="00BA5B89">
        <w:t>methoden</w:t>
      </w:r>
      <w:proofErr w:type="spellEnd"/>
      <w:r w:rsidR="00F95F35" w:rsidRPr="00BA5B89">
        <w:t xml:space="preserve"> </w:t>
      </w:r>
      <w:proofErr w:type="spellStart"/>
      <w:r w:rsidR="00F95F35" w:rsidRPr="00BA5B89">
        <w:t>herausfinden</w:t>
      </w:r>
      <w:proofErr w:type="spellEnd"/>
      <w:r w:rsidRPr="00BA5B89">
        <w:t xml:space="preserve"> - </w:t>
      </w:r>
      <w:proofErr w:type="spellStart"/>
      <w:r w:rsidRPr="00BA5B89">
        <w:t>Literatur</w:t>
      </w:r>
      <w:proofErr w:type="spellEnd"/>
    </w:p>
    <w:p w:rsidR="005E0919" w:rsidRPr="00BA5B89" w:rsidRDefault="005E0919" w:rsidP="005E0919">
      <w:proofErr w:type="spellStart"/>
      <w:r w:rsidRPr="00BA5B89">
        <w:t>Mithilfe</w:t>
      </w:r>
      <w:proofErr w:type="spellEnd"/>
      <w:r w:rsidRPr="00BA5B89">
        <w:t xml:space="preserve"> von CHILDREN:</w:t>
      </w:r>
    </w:p>
    <w:p w:rsidR="005E0919" w:rsidRPr="00BA5B89" w:rsidRDefault="005E0919" w:rsidP="005E0919">
      <w:proofErr w:type="spellStart"/>
      <w:r w:rsidRPr="00BA5B89">
        <w:t>Daten</w:t>
      </w:r>
      <w:proofErr w:type="spellEnd"/>
      <w:r w:rsidRPr="00BA5B89">
        <w:t xml:space="preserve"> </w:t>
      </w:r>
      <w:proofErr w:type="spellStart"/>
      <w:r w:rsidRPr="00BA5B89">
        <w:t>nutzen</w:t>
      </w:r>
      <w:proofErr w:type="spellEnd"/>
      <w:r w:rsidRPr="00BA5B89">
        <w:t xml:space="preserve">, um </w:t>
      </w:r>
      <w:proofErr w:type="spellStart"/>
      <w:r w:rsidRPr="00BA5B89">
        <w:t>konkrete</w:t>
      </w:r>
      <w:proofErr w:type="spellEnd"/>
      <w:r w:rsidRPr="00BA5B89">
        <w:t xml:space="preserve"> </w:t>
      </w:r>
      <w:proofErr w:type="spellStart"/>
      <w:r w:rsidRPr="00BA5B89">
        <w:t>wirkungen</w:t>
      </w:r>
      <w:proofErr w:type="spellEnd"/>
      <w:r w:rsidRPr="00BA5B89">
        <w:t xml:space="preserve"> </w:t>
      </w:r>
      <w:proofErr w:type="spellStart"/>
      <w:r w:rsidRPr="00BA5B89">
        <w:t>kausal</w:t>
      </w:r>
      <w:proofErr w:type="spellEnd"/>
      <w:r w:rsidRPr="00BA5B89">
        <w:t xml:space="preserve"> </w:t>
      </w:r>
      <w:proofErr w:type="spellStart"/>
      <w:r w:rsidRPr="00BA5B89">
        <w:t>zu</w:t>
      </w:r>
      <w:proofErr w:type="spellEnd"/>
      <w:r w:rsidRPr="00BA5B89">
        <w:t xml:space="preserve"> </w:t>
      </w:r>
      <w:proofErr w:type="spellStart"/>
      <w:r w:rsidRPr="00BA5B89">
        <w:t>messen</w:t>
      </w:r>
      <w:proofErr w:type="spellEnd"/>
    </w:p>
    <w:p w:rsidR="00F95F35" w:rsidRPr="00BA5B89" w:rsidRDefault="00F95F35" w:rsidP="005E0919">
      <w:proofErr w:type="spellStart"/>
      <w:r w:rsidRPr="00BA5B89">
        <w:t>Wirkungen</w:t>
      </w:r>
      <w:proofErr w:type="spellEnd"/>
      <w:r w:rsidRPr="00BA5B89">
        <w:t xml:space="preserve"> von </w:t>
      </w:r>
      <w:proofErr w:type="spellStart"/>
      <w:r w:rsidRPr="00BA5B89">
        <w:t>ausflügen</w:t>
      </w:r>
      <w:proofErr w:type="spellEnd"/>
      <w:r w:rsidRPr="00BA5B89">
        <w:t xml:space="preserve"> (</w:t>
      </w:r>
      <w:proofErr w:type="spellStart"/>
      <w:r w:rsidRPr="00BA5B89">
        <w:t>entdeckerfonds</w:t>
      </w:r>
      <w:proofErr w:type="spellEnd"/>
      <w:r w:rsidRPr="00BA5B89">
        <w:t>)</w:t>
      </w:r>
    </w:p>
    <w:p w:rsidR="00346E2B" w:rsidRPr="00BA5B89" w:rsidRDefault="00346E2B"/>
    <w:p w:rsidR="00346E2B" w:rsidRPr="00BA5B89" w:rsidRDefault="00346E2B"/>
    <w:p w:rsidR="00346E2B" w:rsidRPr="00BA5B89" w:rsidRDefault="00346E2B"/>
    <w:p w:rsidR="00346E2B" w:rsidRPr="0021480D" w:rsidRDefault="004A3EE6">
      <w:pPr>
        <w:rPr>
          <w:rFonts w:cs="Times New Roman"/>
          <w:sz w:val="28"/>
          <w:szCs w:val="28"/>
        </w:rPr>
      </w:pPr>
      <w:proofErr w:type="spellStart"/>
      <w:r w:rsidRPr="0021480D">
        <w:rPr>
          <w:rFonts w:cs="Times New Roman"/>
          <w:sz w:val="28"/>
          <w:szCs w:val="28"/>
          <w:highlight w:val="yellow"/>
        </w:rPr>
        <w:t>Heckmann</w:t>
      </w:r>
      <w:proofErr w:type="spellEnd"/>
      <w:r w:rsidRPr="0021480D">
        <w:rPr>
          <w:rFonts w:cs="Times New Roman"/>
          <w:sz w:val="28"/>
          <w:szCs w:val="28"/>
          <w:highlight w:val="yellow"/>
        </w:rPr>
        <w:t xml:space="preserve"> et. </w:t>
      </w:r>
      <w:proofErr w:type="gramStart"/>
      <w:r w:rsidRPr="0021480D">
        <w:rPr>
          <w:rFonts w:cs="Times New Roman"/>
          <w:sz w:val="28"/>
          <w:szCs w:val="28"/>
          <w:highlight w:val="yellow"/>
        </w:rPr>
        <w:t>al. :</w:t>
      </w:r>
      <w:proofErr w:type="gramEnd"/>
      <w:r w:rsidRPr="0021480D">
        <w:rPr>
          <w:rFonts w:cs="Times New Roman"/>
          <w:sz w:val="28"/>
          <w:szCs w:val="28"/>
          <w:highlight w:val="yellow"/>
        </w:rPr>
        <w:t xml:space="preserve"> </w:t>
      </w:r>
      <w:r w:rsidRPr="0021480D">
        <w:rPr>
          <w:rFonts w:cs="Times New Roman"/>
          <w:sz w:val="28"/>
          <w:szCs w:val="28"/>
          <w:highlight w:val="yellow"/>
        </w:rPr>
        <w:t xml:space="preserve">The rate of return to the </w:t>
      </w:r>
      <w:proofErr w:type="spellStart"/>
      <w:r w:rsidRPr="0021480D">
        <w:rPr>
          <w:rFonts w:cs="Times New Roman"/>
          <w:sz w:val="28"/>
          <w:szCs w:val="28"/>
          <w:highlight w:val="yellow"/>
        </w:rPr>
        <w:t>HighScope</w:t>
      </w:r>
      <w:proofErr w:type="spellEnd"/>
      <w:r w:rsidRPr="0021480D">
        <w:rPr>
          <w:rFonts w:cs="Times New Roman"/>
          <w:sz w:val="28"/>
          <w:szCs w:val="28"/>
          <w:highlight w:val="yellow"/>
        </w:rPr>
        <w:t xml:space="preserve"> Perry Preschool Program</w:t>
      </w:r>
    </w:p>
    <w:p w:rsidR="00BA5B89" w:rsidRPr="00BA5B89" w:rsidRDefault="00BA5B89">
      <w:pPr>
        <w:rPr>
          <w:rFonts w:cs="Times New Roman"/>
          <w:b/>
          <w:bCs/>
          <w:szCs w:val="24"/>
          <w:u w:val="single"/>
        </w:rPr>
      </w:pPr>
      <w:r w:rsidRPr="00BA5B89">
        <w:rPr>
          <w:rFonts w:cs="Times New Roman"/>
          <w:b/>
          <w:bCs/>
          <w:color w:val="231F20"/>
          <w:szCs w:val="24"/>
          <w:u w:val="single"/>
        </w:rPr>
        <w:t>Overview:</w:t>
      </w:r>
    </w:p>
    <w:p w:rsidR="00346E2B" w:rsidRPr="00BA5B89" w:rsidRDefault="00406CA3" w:rsidP="00406CA3">
      <w:pPr>
        <w:pStyle w:val="Listenabsatz"/>
        <w:numPr>
          <w:ilvl w:val="0"/>
          <w:numId w:val="2"/>
        </w:numPr>
      </w:pPr>
      <w:r w:rsidRPr="00BA5B89">
        <w:rPr>
          <w:rFonts w:cs="Times New Roman"/>
          <w:color w:val="231F20"/>
          <w:szCs w:val="24"/>
        </w:rPr>
        <w:t xml:space="preserve">estimates the rate of return to the </w:t>
      </w:r>
      <w:proofErr w:type="spellStart"/>
      <w:r w:rsidRPr="00BA5B89">
        <w:rPr>
          <w:rFonts w:cs="Times New Roman"/>
          <w:color w:val="231F20"/>
          <w:szCs w:val="24"/>
        </w:rPr>
        <w:t>HighScope</w:t>
      </w:r>
      <w:proofErr w:type="spellEnd"/>
      <w:r w:rsidRPr="00BA5B89">
        <w:rPr>
          <w:rFonts w:cs="Times New Roman"/>
          <w:color w:val="231F20"/>
          <w:szCs w:val="24"/>
        </w:rPr>
        <w:t xml:space="preserve"> Perry Preschool Program</w:t>
      </w:r>
      <w:r w:rsidR="001B0F46">
        <w:rPr>
          <w:rFonts w:cs="Times New Roman"/>
          <w:color w:val="231F20"/>
          <w:szCs w:val="24"/>
        </w:rPr>
        <w:t xml:space="preserve"> (in Michigan, USA)</w:t>
      </w:r>
      <w:r w:rsidRPr="00BA5B89">
        <w:rPr>
          <w:rFonts w:cs="Times New Roman"/>
          <w:color w:val="231F20"/>
          <w:szCs w:val="24"/>
        </w:rPr>
        <w:t>, an early intervention</w:t>
      </w:r>
      <w:r w:rsidR="00BA5B89" w:rsidRPr="00BA5B89">
        <w:rPr>
          <w:rFonts w:cs="Times New Roman"/>
          <w:color w:val="231F20"/>
          <w:szCs w:val="24"/>
        </w:rPr>
        <w:t xml:space="preserve"> </w:t>
      </w:r>
      <w:r w:rsidRPr="00BA5B89">
        <w:rPr>
          <w:rFonts w:cs="Times New Roman"/>
          <w:color w:val="231F20"/>
          <w:szCs w:val="24"/>
        </w:rPr>
        <w:t xml:space="preserve">program targeted toward disadvantaged </w:t>
      </w:r>
      <w:proofErr w:type="gramStart"/>
      <w:r w:rsidRPr="00BA5B89">
        <w:rPr>
          <w:rFonts w:cs="Times New Roman"/>
          <w:color w:val="231F20"/>
          <w:szCs w:val="24"/>
        </w:rPr>
        <w:t>African-American</w:t>
      </w:r>
      <w:proofErr w:type="gramEnd"/>
      <w:r w:rsidRPr="00BA5B89">
        <w:rPr>
          <w:rFonts w:cs="Times New Roman"/>
          <w:color w:val="231F20"/>
          <w:szCs w:val="24"/>
        </w:rPr>
        <w:t xml:space="preserve"> youth</w:t>
      </w:r>
      <w:r w:rsidR="001B0F46">
        <w:rPr>
          <w:rFonts w:cs="Times New Roman"/>
          <w:color w:val="231F20"/>
          <w:szCs w:val="24"/>
        </w:rPr>
        <w:t xml:space="preserve"> (each one observed over 40 years)</w:t>
      </w:r>
    </w:p>
    <w:p w:rsidR="00346E2B" w:rsidRDefault="00BA5B89" w:rsidP="00BA5B89">
      <w:pPr>
        <w:pStyle w:val="Listenabsatz"/>
        <w:numPr>
          <w:ilvl w:val="0"/>
          <w:numId w:val="2"/>
        </w:numPr>
      </w:pPr>
      <w:r>
        <w:t>Measures economic benefits from preschool education program</w:t>
      </w:r>
    </w:p>
    <w:p w:rsidR="000A6AB1" w:rsidRPr="00BA5B89" w:rsidRDefault="001B0F46" w:rsidP="000A6AB1">
      <w:pPr>
        <w:pStyle w:val="Listenabsatz"/>
        <w:numPr>
          <w:ilvl w:val="0"/>
          <w:numId w:val="2"/>
        </w:numPr>
      </w:pPr>
      <w:r>
        <w:t xml:space="preserve">Uses </w:t>
      </w:r>
      <w:proofErr w:type="spellStart"/>
      <w:r>
        <w:t>standart</w:t>
      </w:r>
      <w:proofErr w:type="spellEnd"/>
      <w:r>
        <w:t xml:space="preserve"> errors as first</w:t>
      </w:r>
    </w:p>
    <w:p w:rsidR="004A3EE6" w:rsidRDefault="000A6AB1">
      <w:pPr>
        <w:rPr>
          <w:b/>
          <w:bCs/>
          <w:u w:val="single"/>
        </w:rPr>
      </w:pPr>
      <w:r w:rsidRPr="000A6AB1">
        <w:rPr>
          <w:b/>
          <w:bCs/>
          <w:u w:val="single"/>
        </w:rPr>
        <w:t>Results:</w:t>
      </w:r>
    </w:p>
    <w:p w:rsidR="000A6AB1" w:rsidRDefault="008737F2" w:rsidP="000A6AB1">
      <w:pPr>
        <w:pStyle w:val="Listenabsatz"/>
        <w:numPr>
          <w:ilvl w:val="0"/>
          <w:numId w:val="2"/>
        </w:numPr>
      </w:pPr>
      <w:r>
        <w:t>Statistically significant returns above the historical return on equity</w:t>
      </w:r>
    </w:p>
    <w:p w:rsidR="00A60B0C" w:rsidRDefault="00A60B0C" w:rsidP="00A60B0C">
      <w:pPr>
        <w:pStyle w:val="Listenabsatz"/>
        <w:numPr>
          <w:ilvl w:val="0"/>
          <w:numId w:val="2"/>
        </w:numPr>
        <w:autoSpaceDE w:val="0"/>
        <w:autoSpaceDN w:val="0"/>
        <w:adjustRightInd w:val="0"/>
        <w:spacing w:after="0" w:line="240" w:lineRule="auto"/>
        <w:rPr>
          <w:rFonts w:cs="Times New Roman"/>
          <w:color w:val="231F20"/>
          <w:szCs w:val="24"/>
          <w:lang w:val="de-DE"/>
        </w:rPr>
      </w:pPr>
      <w:proofErr w:type="spellStart"/>
      <w:r w:rsidRPr="00A60B0C">
        <w:rPr>
          <w:rFonts w:cs="Times New Roman"/>
          <w:color w:val="231F20"/>
          <w:szCs w:val="24"/>
          <w:lang w:val="de-DE"/>
        </w:rPr>
        <w:t>the</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estimated</w:t>
      </w:r>
      <w:proofErr w:type="spellEnd"/>
      <w:r w:rsidRPr="00A60B0C">
        <w:rPr>
          <w:rFonts w:cs="Times New Roman"/>
          <w:color w:val="231F20"/>
          <w:szCs w:val="24"/>
          <w:lang w:val="de-DE"/>
        </w:rPr>
        <w:t xml:space="preserve"> annual </w:t>
      </w:r>
      <w:proofErr w:type="spellStart"/>
      <w:r w:rsidRPr="00A60B0C">
        <w:rPr>
          <w:rFonts w:cs="Times New Roman"/>
          <w:color w:val="231F20"/>
          <w:szCs w:val="24"/>
          <w:lang w:val="de-DE"/>
        </w:rPr>
        <w:t>rates</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of</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return</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are</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above</w:t>
      </w:r>
      <w:proofErr w:type="spellEnd"/>
      <w:r>
        <w:rPr>
          <w:rFonts w:cs="Times New Roman"/>
          <w:color w:val="231F20"/>
          <w:szCs w:val="24"/>
          <w:lang w:val="de-DE"/>
        </w:rPr>
        <w:t xml:space="preserve"> </w:t>
      </w:r>
      <w:proofErr w:type="spellStart"/>
      <w:r w:rsidRPr="00A60B0C">
        <w:rPr>
          <w:rFonts w:cs="Times New Roman"/>
          <w:color w:val="231F20"/>
          <w:szCs w:val="24"/>
          <w:lang w:val="de-DE"/>
        </w:rPr>
        <w:t>the</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historical</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return</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to</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equity</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of</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about</w:t>
      </w:r>
      <w:proofErr w:type="spellEnd"/>
      <w:r w:rsidRPr="00A60B0C">
        <w:rPr>
          <w:rFonts w:cs="Times New Roman"/>
          <w:color w:val="231F20"/>
          <w:szCs w:val="24"/>
          <w:lang w:val="de-DE"/>
        </w:rPr>
        <w:t xml:space="preserve"> 5.8% but </w:t>
      </w:r>
      <w:proofErr w:type="spellStart"/>
      <w:r w:rsidRPr="00A60B0C">
        <w:rPr>
          <w:rFonts w:cs="Times New Roman"/>
          <w:color w:val="231F20"/>
          <w:szCs w:val="24"/>
          <w:lang w:val="de-DE"/>
        </w:rPr>
        <w:t>below</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previous</w:t>
      </w:r>
      <w:proofErr w:type="spellEnd"/>
      <w:r>
        <w:rPr>
          <w:rFonts w:cs="Times New Roman"/>
          <w:color w:val="231F20"/>
          <w:szCs w:val="24"/>
          <w:lang w:val="de-DE"/>
        </w:rPr>
        <w:t xml:space="preserve"> </w:t>
      </w:r>
      <w:proofErr w:type="spellStart"/>
      <w:r w:rsidRPr="00A60B0C">
        <w:rPr>
          <w:rFonts w:cs="Times New Roman"/>
          <w:color w:val="231F20"/>
          <w:szCs w:val="24"/>
          <w:lang w:val="de-DE"/>
        </w:rPr>
        <w:t>estimates</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reported</w:t>
      </w:r>
      <w:proofErr w:type="spellEnd"/>
      <w:r w:rsidRPr="00A60B0C">
        <w:rPr>
          <w:rFonts w:cs="Times New Roman"/>
          <w:color w:val="231F20"/>
          <w:szCs w:val="24"/>
          <w:lang w:val="de-DE"/>
        </w:rPr>
        <w:t xml:space="preserve"> in </w:t>
      </w:r>
      <w:proofErr w:type="spellStart"/>
      <w:r w:rsidRPr="00A60B0C">
        <w:rPr>
          <w:rFonts w:cs="Times New Roman"/>
          <w:color w:val="231F20"/>
          <w:szCs w:val="24"/>
          <w:lang w:val="de-DE"/>
        </w:rPr>
        <w:t>the</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literature</w:t>
      </w:r>
      <w:proofErr w:type="spellEnd"/>
      <w:r>
        <w:rPr>
          <w:rFonts w:cs="Times New Roman"/>
          <w:color w:val="231F20"/>
          <w:szCs w:val="24"/>
          <w:lang w:val="de-DE"/>
        </w:rPr>
        <w:t xml:space="preserve"> (</w:t>
      </w:r>
      <w:proofErr w:type="spellStart"/>
      <w:r>
        <w:rPr>
          <w:rFonts w:cs="Times New Roman"/>
          <w:color w:val="231F20"/>
          <w:szCs w:val="24"/>
          <w:lang w:val="de-DE"/>
        </w:rPr>
        <w:t>with</w:t>
      </w:r>
      <w:proofErr w:type="spellEnd"/>
      <w:r>
        <w:rPr>
          <w:rFonts w:cs="Times New Roman"/>
          <w:color w:val="231F20"/>
          <w:szCs w:val="24"/>
          <w:lang w:val="de-DE"/>
        </w:rPr>
        <w:t xml:space="preserve"> </w:t>
      </w:r>
      <w:proofErr w:type="spellStart"/>
      <w:r>
        <w:rPr>
          <w:rFonts w:cs="Times New Roman"/>
          <w:color w:val="231F20"/>
          <w:szCs w:val="24"/>
          <w:lang w:val="de-DE"/>
        </w:rPr>
        <w:t>no</w:t>
      </w:r>
      <w:proofErr w:type="spellEnd"/>
      <w:r w:rsidR="00E15D4E">
        <w:rPr>
          <w:rFonts w:cs="Times New Roman"/>
          <w:color w:val="231F20"/>
          <w:szCs w:val="24"/>
          <w:lang w:val="de-DE"/>
        </w:rPr>
        <w:t xml:space="preserve"> </w:t>
      </w:r>
      <w:proofErr w:type="spellStart"/>
      <w:r w:rsidR="00E15D4E">
        <w:rPr>
          <w:rFonts w:cs="Times New Roman"/>
          <w:color w:val="231F20"/>
          <w:szCs w:val="24"/>
          <w:lang w:val="de-DE"/>
        </w:rPr>
        <w:t>standart</w:t>
      </w:r>
      <w:proofErr w:type="spellEnd"/>
      <w:r w:rsidR="00E15D4E">
        <w:rPr>
          <w:rFonts w:cs="Times New Roman"/>
          <w:color w:val="231F20"/>
          <w:szCs w:val="24"/>
          <w:lang w:val="de-DE"/>
        </w:rPr>
        <w:t xml:space="preserve"> </w:t>
      </w:r>
      <w:proofErr w:type="spellStart"/>
      <w:r w:rsidR="00E15D4E">
        <w:rPr>
          <w:rFonts w:cs="Times New Roman"/>
          <w:color w:val="231F20"/>
          <w:szCs w:val="24"/>
          <w:lang w:val="de-DE"/>
        </w:rPr>
        <w:t>errors</w:t>
      </w:r>
      <w:proofErr w:type="spellEnd"/>
      <w:r w:rsidR="00E15D4E">
        <w:rPr>
          <w:rFonts w:cs="Times New Roman"/>
          <w:color w:val="231F20"/>
          <w:szCs w:val="24"/>
          <w:lang w:val="de-DE"/>
        </w:rPr>
        <w:t xml:space="preserve">, just </w:t>
      </w:r>
      <w:proofErr w:type="spellStart"/>
      <w:r w:rsidR="00E15D4E">
        <w:rPr>
          <w:rFonts w:cs="Times New Roman"/>
          <w:color w:val="231F20"/>
          <w:szCs w:val="24"/>
          <w:lang w:val="de-DE"/>
        </w:rPr>
        <w:t>correlations</w:t>
      </w:r>
      <w:proofErr w:type="spellEnd"/>
      <w:r w:rsidR="00E15D4E">
        <w:rPr>
          <w:rFonts w:cs="Times New Roman"/>
          <w:color w:val="231F20"/>
          <w:szCs w:val="24"/>
          <w:lang w:val="de-DE"/>
        </w:rPr>
        <w:t>)</w:t>
      </w:r>
    </w:p>
    <w:p w:rsidR="00E15D4E" w:rsidRPr="00A60B0C" w:rsidRDefault="00E15D4E" w:rsidP="00A60B0C">
      <w:pPr>
        <w:pStyle w:val="Listenabsatz"/>
        <w:numPr>
          <w:ilvl w:val="0"/>
          <w:numId w:val="2"/>
        </w:numPr>
        <w:autoSpaceDE w:val="0"/>
        <w:autoSpaceDN w:val="0"/>
        <w:adjustRightInd w:val="0"/>
        <w:spacing w:after="0" w:line="240" w:lineRule="auto"/>
        <w:rPr>
          <w:rFonts w:cs="Times New Roman"/>
          <w:color w:val="231F20"/>
          <w:szCs w:val="24"/>
          <w:lang w:val="de-DE"/>
        </w:rPr>
      </w:pPr>
    </w:p>
    <w:p w:rsidR="004A3EE6" w:rsidRPr="00E15D4E" w:rsidRDefault="00E15D4E">
      <w:pPr>
        <w:rPr>
          <w:b/>
          <w:bCs/>
          <w:u w:val="single"/>
        </w:rPr>
      </w:pPr>
      <w:r w:rsidRPr="00E15D4E">
        <w:rPr>
          <w:b/>
          <w:bCs/>
          <w:u w:val="single"/>
        </w:rPr>
        <w:t>Methods:</w:t>
      </w:r>
    </w:p>
    <w:p w:rsidR="004A3EE6" w:rsidRPr="0012288C" w:rsidRDefault="0012288C" w:rsidP="00E15D4E">
      <w:pPr>
        <w:pStyle w:val="Listenabsatz"/>
        <w:numPr>
          <w:ilvl w:val="0"/>
          <w:numId w:val="2"/>
        </w:numPr>
        <w:rPr>
          <w:rFonts w:cs="Times New Roman"/>
          <w:szCs w:val="24"/>
        </w:rPr>
      </w:pPr>
      <w:proofErr w:type="spellStart"/>
      <w:r w:rsidRPr="0012288C">
        <w:rPr>
          <w:rFonts w:cs="Times New Roman"/>
          <w:color w:val="231F20"/>
          <w:szCs w:val="24"/>
          <w:lang w:val="de-DE"/>
        </w:rPr>
        <w:t>treatment</w:t>
      </w:r>
      <w:proofErr w:type="spellEnd"/>
      <w:r w:rsidRPr="0012288C">
        <w:rPr>
          <w:rFonts w:cs="Times New Roman"/>
          <w:color w:val="231F20"/>
          <w:szCs w:val="24"/>
          <w:lang w:val="de-DE"/>
        </w:rPr>
        <w:t xml:space="preserve"> and </w:t>
      </w:r>
      <w:proofErr w:type="spellStart"/>
      <w:r w:rsidRPr="0012288C">
        <w:rPr>
          <w:rFonts w:cs="Times New Roman"/>
          <w:color w:val="231F20"/>
          <w:szCs w:val="24"/>
          <w:lang w:val="de-DE"/>
        </w:rPr>
        <w:t>control</w:t>
      </w:r>
      <w:proofErr w:type="spellEnd"/>
      <w:r w:rsidRPr="0012288C">
        <w:rPr>
          <w:rFonts w:cs="Times New Roman"/>
          <w:color w:val="231F20"/>
          <w:szCs w:val="24"/>
          <w:lang w:val="de-DE"/>
        </w:rPr>
        <w:t xml:space="preserve"> </w:t>
      </w:r>
      <w:proofErr w:type="spellStart"/>
      <w:r w:rsidRPr="0012288C">
        <w:rPr>
          <w:rFonts w:cs="Times New Roman"/>
          <w:color w:val="231F20"/>
          <w:szCs w:val="24"/>
          <w:lang w:val="de-DE"/>
        </w:rPr>
        <w:t>group</w:t>
      </w:r>
      <w:proofErr w:type="spellEnd"/>
    </w:p>
    <w:p w:rsidR="0012288C" w:rsidRPr="0012288C" w:rsidRDefault="0012288C" w:rsidP="0012288C">
      <w:pPr>
        <w:pStyle w:val="Listenabsatz"/>
        <w:rPr>
          <w:rFonts w:cs="Times New Roman"/>
          <w:szCs w:val="24"/>
        </w:rPr>
      </w:pPr>
      <w:bookmarkStart w:id="0" w:name="_GoBack"/>
      <w:bookmarkEnd w:id="0"/>
    </w:p>
    <w:p w:rsidR="004A3EE6" w:rsidRDefault="00594461">
      <w:proofErr w:type="spellStart"/>
      <w:r>
        <w:t>Wichtige</w:t>
      </w:r>
      <w:proofErr w:type="spellEnd"/>
      <w:r>
        <w:t xml:space="preserve"> </w:t>
      </w:r>
      <w:proofErr w:type="spellStart"/>
      <w:r>
        <w:t>Stellen</w:t>
      </w:r>
      <w:proofErr w:type="spellEnd"/>
      <w:r>
        <w:t>:</w:t>
      </w:r>
    </w:p>
    <w:p w:rsidR="00594461" w:rsidRPr="00594461" w:rsidRDefault="00594461" w:rsidP="00594461">
      <w:pPr>
        <w:autoSpaceDE w:val="0"/>
        <w:autoSpaceDN w:val="0"/>
        <w:adjustRightInd w:val="0"/>
        <w:spacing w:after="0" w:line="240" w:lineRule="auto"/>
        <w:rPr>
          <w:rFonts w:cs="Times New Roman"/>
          <w:color w:val="231F20"/>
          <w:szCs w:val="24"/>
          <w:lang w:val="de-DE"/>
        </w:rPr>
      </w:pPr>
      <w:r>
        <w:rPr>
          <w:rFonts w:cs="Times New Roman"/>
          <w:color w:val="231F20"/>
          <w:szCs w:val="24"/>
          <w:lang w:val="de-DE"/>
        </w:rPr>
        <w:t>„</w:t>
      </w:r>
      <w:r w:rsidRPr="00594461">
        <w:rPr>
          <w:rFonts w:cs="Times New Roman"/>
          <w:color w:val="231F20"/>
          <w:szCs w:val="24"/>
          <w:lang w:val="de-DE"/>
        </w:rPr>
        <w:t xml:space="preserve">The internal rate </w:t>
      </w:r>
      <w:proofErr w:type="spellStart"/>
      <w:r w:rsidRPr="00594461">
        <w:rPr>
          <w:rFonts w:cs="Times New Roman"/>
          <w:color w:val="231F20"/>
          <w:szCs w:val="24"/>
          <w:lang w:val="de-DE"/>
        </w:rPr>
        <w:t>of</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return</w:t>
      </w:r>
      <w:proofErr w:type="spellEnd"/>
      <w:r w:rsidRPr="00594461">
        <w:rPr>
          <w:rFonts w:cs="Times New Roman"/>
          <w:color w:val="231F20"/>
          <w:szCs w:val="24"/>
          <w:lang w:val="de-DE"/>
        </w:rPr>
        <w:t xml:space="preserve"> (IRR) </w:t>
      </w:r>
      <w:proofErr w:type="spellStart"/>
      <w:r w:rsidRPr="00594461">
        <w:rPr>
          <w:rFonts w:cs="Times New Roman"/>
          <w:color w:val="231F20"/>
          <w:szCs w:val="24"/>
          <w:lang w:val="de-DE"/>
        </w:rPr>
        <w:t>compares</w:t>
      </w:r>
      <w:proofErr w:type="spellEnd"/>
    </w:p>
    <w:p w:rsidR="00594461" w:rsidRPr="00594461" w:rsidRDefault="00594461" w:rsidP="00594461">
      <w:pPr>
        <w:autoSpaceDE w:val="0"/>
        <w:autoSpaceDN w:val="0"/>
        <w:adjustRightInd w:val="0"/>
        <w:spacing w:after="0" w:line="240" w:lineRule="auto"/>
        <w:rPr>
          <w:rFonts w:cs="Times New Roman"/>
          <w:color w:val="231F20"/>
          <w:szCs w:val="24"/>
          <w:lang w:val="de-DE"/>
        </w:rPr>
      </w:pPr>
      <w:r w:rsidRPr="00594461">
        <w:rPr>
          <w:rFonts w:cs="Times New Roman"/>
          <w:color w:val="231F20"/>
          <w:szCs w:val="24"/>
          <w:lang w:val="de-DE"/>
        </w:rPr>
        <w:t xml:space="preserve">alternative </w:t>
      </w:r>
      <w:proofErr w:type="spellStart"/>
      <w:r w:rsidRPr="00594461">
        <w:rPr>
          <w:rFonts w:cs="Times New Roman"/>
          <w:color w:val="231F20"/>
          <w:szCs w:val="24"/>
          <w:lang w:val="de-DE"/>
        </w:rPr>
        <w:t>investment</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projects</w:t>
      </w:r>
      <w:proofErr w:type="spellEnd"/>
      <w:r w:rsidRPr="00594461">
        <w:rPr>
          <w:rFonts w:cs="Times New Roman"/>
          <w:color w:val="231F20"/>
          <w:szCs w:val="24"/>
          <w:lang w:val="de-DE"/>
        </w:rPr>
        <w:t xml:space="preserve"> in a </w:t>
      </w:r>
      <w:proofErr w:type="spellStart"/>
      <w:r w:rsidRPr="00594461">
        <w:rPr>
          <w:rFonts w:cs="Times New Roman"/>
          <w:color w:val="231F20"/>
          <w:szCs w:val="24"/>
          <w:lang w:val="de-DE"/>
        </w:rPr>
        <w:t>common</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metric</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For</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each</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gender</w:t>
      </w:r>
      <w:proofErr w:type="spellEnd"/>
    </w:p>
    <w:p w:rsidR="00594461" w:rsidRPr="00594461" w:rsidRDefault="00594461" w:rsidP="00594461">
      <w:pPr>
        <w:autoSpaceDE w:val="0"/>
        <w:autoSpaceDN w:val="0"/>
        <w:adjustRightInd w:val="0"/>
        <w:spacing w:after="0" w:line="240" w:lineRule="auto"/>
        <w:rPr>
          <w:rFonts w:cs="Times New Roman"/>
          <w:color w:val="231F20"/>
          <w:szCs w:val="24"/>
          <w:lang w:val="de-DE"/>
        </w:rPr>
      </w:pPr>
      <w:r w:rsidRPr="00594461">
        <w:rPr>
          <w:rFonts w:cs="Times New Roman"/>
          <w:color w:val="231F20"/>
          <w:szCs w:val="24"/>
          <w:lang w:val="de-DE"/>
        </w:rPr>
        <w:t xml:space="preserve">and </w:t>
      </w:r>
      <w:proofErr w:type="spellStart"/>
      <w:r w:rsidRPr="00594461">
        <w:rPr>
          <w:rFonts w:cs="Times New Roman"/>
          <w:color w:val="231F20"/>
          <w:szCs w:val="24"/>
          <w:lang w:val="de-DE"/>
        </w:rPr>
        <w:t>treatment</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group</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we</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construct</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average</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life</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cycle</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benefit</w:t>
      </w:r>
      <w:proofErr w:type="spellEnd"/>
      <w:r w:rsidRPr="00594461">
        <w:rPr>
          <w:rFonts w:cs="Times New Roman"/>
          <w:color w:val="231F20"/>
          <w:szCs w:val="24"/>
          <w:lang w:val="de-DE"/>
        </w:rPr>
        <w:t xml:space="preserve"> and </w:t>
      </w:r>
      <w:proofErr w:type="spellStart"/>
      <w:r w:rsidRPr="00594461">
        <w:rPr>
          <w:rFonts w:cs="Times New Roman"/>
          <w:color w:val="231F20"/>
          <w:szCs w:val="24"/>
          <w:lang w:val="de-DE"/>
        </w:rPr>
        <w:t>cost</w:t>
      </w:r>
      <w:proofErr w:type="spellEnd"/>
    </w:p>
    <w:p w:rsidR="00594461" w:rsidRDefault="00594461" w:rsidP="00594461">
      <w:pPr>
        <w:autoSpaceDE w:val="0"/>
        <w:autoSpaceDN w:val="0"/>
        <w:adjustRightInd w:val="0"/>
        <w:spacing w:after="0" w:line="240" w:lineRule="auto"/>
        <w:rPr>
          <w:rFonts w:cs="Times New Roman"/>
          <w:color w:val="231F20"/>
          <w:szCs w:val="24"/>
          <w:lang w:val="de-DE"/>
        </w:rPr>
      </w:pPr>
      <w:proofErr w:type="spellStart"/>
      <w:r w:rsidRPr="00594461">
        <w:rPr>
          <w:rFonts w:cs="Times New Roman"/>
          <w:color w:val="231F20"/>
          <w:szCs w:val="24"/>
          <w:lang w:val="de-DE"/>
        </w:rPr>
        <w:t>profiles</w:t>
      </w:r>
      <w:proofErr w:type="spellEnd"/>
      <w:r w:rsidRPr="00594461">
        <w:rPr>
          <w:rFonts w:cs="Times New Roman"/>
          <w:color w:val="231F20"/>
          <w:szCs w:val="24"/>
          <w:lang w:val="de-DE"/>
        </w:rPr>
        <w:t xml:space="preserve"> and </w:t>
      </w:r>
      <w:proofErr w:type="spellStart"/>
      <w:r w:rsidRPr="00594461">
        <w:rPr>
          <w:rFonts w:cs="Times New Roman"/>
          <w:color w:val="231F20"/>
          <w:szCs w:val="24"/>
          <w:lang w:val="de-DE"/>
        </w:rPr>
        <w:t>then</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compute</w:t>
      </w:r>
      <w:proofErr w:type="spellEnd"/>
      <w:r w:rsidRPr="00594461">
        <w:rPr>
          <w:rFonts w:cs="Times New Roman"/>
          <w:color w:val="231F20"/>
          <w:szCs w:val="24"/>
          <w:lang w:val="de-DE"/>
        </w:rPr>
        <w:t xml:space="preserve"> IRRs</w:t>
      </w:r>
      <w:r w:rsidRPr="00594461">
        <w:rPr>
          <w:rFonts w:cs="Times New Roman"/>
          <w:color w:val="231F20"/>
          <w:szCs w:val="24"/>
          <w:lang w:val="de-DE"/>
        </w:rPr>
        <w:t>.</w:t>
      </w:r>
      <w:r w:rsidR="00FD3EAD">
        <w:rPr>
          <w:rFonts w:cs="Times New Roman"/>
          <w:color w:val="231F20"/>
          <w:szCs w:val="24"/>
          <w:lang w:val="de-DE"/>
        </w:rPr>
        <w:t>“</w:t>
      </w:r>
      <w:r w:rsidRPr="00594461">
        <w:rPr>
          <w:rFonts w:cs="Times New Roman"/>
          <w:color w:val="231F20"/>
          <w:szCs w:val="24"/>
          <w:lang w:val="de-DE"/>
        </w:rPr>
        <w:t xml:space="preserve"> (</w:t>
      </w:r>
      <w:proofErr w:type="spellStart"/>
      <w:r w:rsidRPr="00594461">
        <w:rPr>
          <w:rFonts w:cs="Times New Roman"/>
          <w:color w:val="231F20"/>
          <w:szCs w:val="24"/>
          <w:lang w:val="de-DE"/>
        </w:rPr>
        <w:t>page</w:t>
      </w:r>
      <w:proofErr w:type="spellEnd"/>
      <w:r w:rsidRPr="00594461">
        <w:rPr>
          <w:rFonts w:cs="Times New Roman"/>
          <w:color w:val="231F20"/>
          <w:szCs w:val="24"/>
          <w:lang w:val="de-DE"/>
        </w:rPr>
        <w:t xml:space="preserve"> 122)</w:t>
      </w:r>
    </w:p>
    <w:p w:rsidR="00FD3EAD" w:rsidRDefault="00FD3EAD" w:rsidP="00594461">
      <w:pPr>
        <w:autoSpaceDE w:val="0"/>
        <w:autoSpaceDN w:val="0"/>
        <w:adjustRightInd w:val="0"/>
        <w:spacing w:after="0" w:line="240" w:lineRule="auto"/>
        <w:rPr>
          <w:rFonts w:cs="Times New Roman"/>
          <w:color w:val="231F20"/>
          <w:szCs w:val="24"/>
          <w:lang w:val="de-DE"/>
        </w:rPr>
      </w:pPr>
    </w:p>
    <w:p w:rsidR="00FD3EAD" w:rsidRPr="00FD3EAD" w:rsidRDefault="00FD3EAD" w:rsidP="00FD3EAD">
      <w:pPr>
        <w:autoSpaceDE w:val="0"/>
        <w:autoSpaceDN w:val="0"/>
        <w:adjustRightInd w:val="0"/>
        <w:spacing w:after="0" w:line="240" w:lineRule="auto"/>
        <w:rPr>
          <w:rFonts w:cs="Times New Roman"/>
          <w:color w:val="231F20"/>
          <w:szCs w:val="24"/>
          <w:lang w:val="de-DE"/>
        </w:rPr>
      </w:pPr>
      <w:r>
        <w:rPr>
          <w:rFonts w:cs="Times New Roman"/>
          <w:color w:val="231F20"/>
          <w:szCs w:val="24"/>
          <w:lang w:val="de-DE"/>
        </w:rPr>
        <w:t>„</w:t>
      </w:r>
      <w:proofErr w:type="spellStart"/>
      <w:r w:rsidRPr="00FD3EAD">
        <w:rPr>
          <w:rFonts w:cs="Times New Roman"/>
          <w:color w:val="231F20"/>
          <w:szCs w:val="24"/>
          <w:lang w:val="de-DE"/>
        </w:rPr>
        <w:t>For</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the</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benefit</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of</w:t>
      </w:r>
      <w:proofErr w:type="spellEnd"/>
      <w:r w:rsidRPr="00FD3EAD">
        <w:rPr>
          <w:rFonts w:cs="Times New Roman"/>
          <w:color w:val="231F20"/>
          <w:szCs w:val="24"/>
          <w:lang w:val="de-DE"/>
        </w:rPr>
        <w:t xml:space="preserve"> non-</w:t>
      </w:r>
      <w:proofErr w:type="spellStart"/>
      <w:r w:rsidRPr="00FD3EAD">
        <w:rPr>
          <w:rFonts w:cs="Times New Roman"/>
          <w:color w:val="231F20"/>
          <w:szCs w:val="24"/>
          <w:lang w:val="de-DE"/>
        </w:rPr>
        <w:t>economist</w:t>
      </w:r>
      <w:proofErr w:type="spellEnd"/>
    </w:p>
    <w:p w:rsidR="00FD3EAD" w:rsidRPr="00FD3EAD" w:rsidRDefault="00FD3EAD" w:rsidP="00FD3EAD">
      <w:pPr>
        <w:autoSpaceDE w:val="0"/>
        <w:autoSpaceDN w:val="0"/>
        <w:adjustRightInd w:val="0"/>
        <w:spacing w:after="0" w:line="240" w:lineRule="auto"/>
        <w:rPr>
          <w:rFonts w:cs="Times New Roman"/>
          <w:color w:val="231F20"/>
          <w:szCs w:val="24"/>
          <w:lang w:val="de-DE"/>
        </w:rPr>
      </w:pPr>
      <w:proofErr w:type="spellStart"/>
      <w:r w:rsidRPr="00FD3EAD">
        <w:rPr>
          <w:rFonts w:cs="Times New Roman"/>
          <w:color w:val="231F20"/>
          <w:szCs w:val="24"/>
          <w:lang w:val="de-DE"/>
        </w:rPr>
        <w:t>readers</w:t>
      </w:r>
      <w:proofErr w:type="spellEnd"/>
      <w:r w:rsidRPr="00FD3EAD">
        <w:rPr>
          <w:rFonts w:cs="Times New Roman"/>
          <w:color w:val="231F20"/>
          <w:szCs w:val="24"/>
          <w:lang w:val="de-DE"/>
        </w:rPr>
        <w:t xml:space="preserve">, annual </w:t>
      </w:r>
      <w:proofErr w:type="spellStart"/>
      <w:r w:rsidRPr="00FD3EAD">
        <w:rPr>
          <w:rFonts w:cs="Times New Roman"/>
          <w:color w:val="231F20"/>
          <w:szCs w:val="24"/>
          <w:lang w:val="de-DE"/>
        </w:rPr>
        <w:t>rates</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of</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return</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of</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this</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magnitude</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if</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compounded</w:t>
      </w:r>
      <w:proofErr w:type="spellEnd"/>
      <w:r w:rsidRPr="00FD3EAD">
        <w:rPr>
          <w:rFonts w:cs="Times New Roman"/>
          <w:color w:val="231F20"/>
          <w:szCs w:val="24"/>
          <w:lang w:val="de-DE"/>
        </w:rPr>
        <w:t xml:space="preserve"> and</w:t>
      </w:r>
    </w:p>
    <w:p w:rsidR="00FD3EAD" w:rsidRPr="00FD3EAD" w:rsidRDefault="00FD3EAD" w:rsidP="00FD3EAD">
      <w:pPr>
        <w:autoSpaceDE w:val="0"/>
        <w:autoSpaceDN w:val="0"/>
        <w:adjustRightInd w:val="0"/>
        <w:spacing w:after="0" w:line="240" w:lineRule="auto"/>
        <w:rPr>
          <w:rFonts w:cs="Times New Roman"/>
          <w:color w:val="231F20"/>
          <w:szCs w:val="24"/>
          <w:lang w:val="de-DE"/>
        </w:rPr>
      </w:pPr>
      <w:proofErr w:type="spellStart"/>
      <w:r w:rsidRPr="00FD3EAD">
        <w:rPr>
          <w:rFonts w:cs="Times New Roman"/>
          <w:color w:val="231F20"/>
          <w:szCs w:val="24"/>
          <w:lang w:val="de-DE"/>
        </w:rPr>
        <w:t>reinvested</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annually</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over</w:t>
      </w:r>
      <w:proofErr w:type="spellEnd"/>
      <w:r w:rsidRPr="00FD3EAD">
        <w:rPr>
          <w:rFonts w:cs="Times New Roman"/>
          <w:color w:val="231F20"/>
          <w:szCs w:val="24"/>
          <w:lang w:val="de-DE"/>
        </w:rPr>
        <w:t xml:space="preserve"> a 65 </w:t>
      </w:r>
      <w:proofErr w:type="spellStart"/>
      <w:r w:rsidRPr="00FD3EAD">
        <w:rPr>
          <w:rFonts w:cs="Times New Roman"/>
          <w:color w:val="231F20"/>
          <w:szCs w:val="24"/>
          <w:lang w:val="de-DE"/>
        </w:rPr>
        <w:t>year</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life</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imply</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that</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each</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dollar</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invested</w:t>
      </w:r>
      <w:proofErr w:type="spellEnd"/>
    </w:p>
    <w:p w:rsidR="00FD3EAD" w:rsidRPr="00FD3EAD" w:rsidRDefault="00FD3EAD" w:rsidP="00FD3EAD">
      <w:pPr>
        <w:autoSpaceDE w:val="0"/>
        <w:autoSpaceDN w:val="0"/>
        <w:adjustRightInd w:val="0"/>
        <w:spacing w:after="0" w:line="240" w:lineRule="auto"/>
        <w:rPr>
          <w:rFonts w:cs="Times New Roman"/>
          <w:color w:val="231F20"/>
          <w:szCs w:val="24"/>
          <w:lang w:val="de-DE"/>
        </w:rPr>
      </w:pPr>
      <w:r w:rsidRPr="00FD3EAD">
        <w:rPr>
          <w:rFonts w:cs="Times New Roman"/>
          <w:color w:val="231F20"/>
          <w:szCs w:val="24"/>
          <w:lang w:val="de-DE"/>
        </w:rPr>
        <w:t xml:space="preserve">at </w:t>
      </w:r>
      <w:proofErr w:type="spellStart"/>
      <w:r w:rsidRPr="00FD3EAD">
        <w:rPr>
          <w:rFonts w:cs="Times New Roman"/>
          <w:color w:val="231F20"/>
          <w:szCs w:val="24"/>
          <w:lang w:val="de-DE"/>
        </w:rPr>
        <w:t>age</w:t>
      </w:r>
      <w:proofErr w:type="spellEnd"/>
      <w:r w:rsidRPr="00FD3EAD">
        <w:rPr>
          <w:rFonts w:cs="Times New Roman"/>
          <w:color w:val="231F20"/>
          <w:szCs w:val="24"/>
          <w:lang w:val="de-DE"/>
        </w:rPr>
        <w:t xml:space="preserve"> 4 </w:t>
      </w:r>
      <w:proofErr w:type="spellStart"/>
      <w:r w:rsidRPr="00FD3EAD">
        <w:rPr>
          <w:rFonts w:cs="Times New Roman"/>
          <w:color w:val="231F20"/>
          <w:szCs w:val="24"/>
          <w:lang w:val="de-DE"/>
        </w:rPr>
        <w:t>yields</w:t>
      </w:r>
      <w:proofErr w:type="spellEnd"/>
      <w:r w:rsidRPr="00FD3EAD">
        <w:rPr>
          <w:rFonts w:cs="Times New Roman"/>
          <w:color w:val="231F20"/>
          <w:szCs w:val="24"/>
          <w:lang w:val="de-DE"/>
        </w:rPr>
        <w:t xml:space="preserve"> a </w:t>
      </w:r>
      <w:proofErr w:type="spellStart"/>
      <w:r w:rsidRPr="00FD3EAD">
        <w:rPr>
          <w:rFonts w:cs="Times New Roman"/>
          <w:color w:val="231F20"/>
          <w:szCs w:val="24"/>
          <w:lang w:val="de-DE"/>
        </w:rPr>
        <w:t>return</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of</w:t>
      </w:r>
      <w:proofErr w:type="spellEnd"/>
      <w:r w:rsidRPr="00FD3EAD">
        <w:rPr>
          <w:rFonts w:cs="Times New Roman"/>
          <w:color w:val="231F20"/>
          <w:szCs w:val="24"/>
          <w:lang w:val="de-DE"/>
        </w:rPr>
        <w:t xml:space="preserve"> 60–300 </w:t>
      </w:r>
      <w:proofErr w:type="spellStart"/>
      <w:r w:rsidRPr="00FD3EAD">
        <w:rPr>
          <w:rFonts w:cs="Times New Roman"/>
          <w:color w:val="231F20"/>
          <w:szCs w:val="24"/>
          <w:lang w:val="de-DE"/>
        </w:rPr>
        <w:t>dollars</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by</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age</w:t>
      </w:r>
      <w:proofErr w:type="spellEnd"/>
      <w:r w:rsidRPr="00FD3EAD">
        <w:rPr>
          <w:rFonts w:cs="Times New Roman"/>
          <w:color w:val="231F20"/>
          <w:szCs w:val="24"/>
          <w:lang w:val="de-DE"/>
        </w:rPr>
        <w:t xml:space="preserve"> 65</w:t>
      </w:r>
      <w:r w:rsidR="007307E6">
        <w:rPr>
          <w:rFonts w:cs="Times New Roman"/>
          <w:color w:val="231F20"/>
          <w:szCs w:val="24"/>
          <w:lang w:val="de-DE"/>
        </w:rPr>
        <w:t>“</w:t>
      </w:r>
      <w:r w:rsidRPr="00FD3EAD">
        <w:rPr>
          <w:rFonts w:cs="Times New Roman"/>
          <w:color w:val="231F20"/>
          <w:szCs w:val="24"/>
          <w:lang w:val="de-DE"/>
        </w:rPr>
        <w:t xml:space="preserve"> (</w:t>
      </w:r>
      <w:proofErr w:type="spellStart"/>
      <w:r w:rsidRPr="00FD3EAD">
        <w:rPr>
          <w:rFonts w:cs="Times New Roman"/>
          <w:color w:val="231F20"/>
          <w:szCs w:val="24"/>
          <w:lang w:val="de-DE"/>
        </w:rPr>
        <w:t>page</w:t>
      </w:r>
      <w:proofErr w:type="spellEnd"/>
      <w:r w:rsidRPr="00FD3EAD">
        <w:rPr>
          <w:rFonts w:cs="Times New Roman"/>
          <w:color w:val="231F20"/>
          <w:szCs w:val="24"/>
          <w:lang w:val="de-DE"/>
        </w:rPr>
        <w:t xml:space="preserve"> 115)</w:t>
      </w:r>
    </w:p>
    <w:p w:rsidR="004A3EE6" w:rsidRPr="00BA5B89" w:rsidRDefault="004A3EE6"/>
    <w:p w:rsidR="004A3EE6" w:rsidRDefault="004A3EE6"/>
    <w:p w:rsidR="0060614C" w:rsidRPr="00BA5B89" w:rsidRDefault="0060614C"/>
    <w:p w:rsidR="004A3EE6" w:rsidRPr="0021480D" w:rsidRDefault="0060614C">
      <w:pPr>
        <w:rPr>
          <w:sz w:val="28"/>
          <w:szCs w:val="28"/>
        </w:rPr>
      </w:pPr>
      <w:proofErr w:type="spellStart"/>
      <w:r w:rsidRPr="0021480D">
        <w:rPr>
          <w:sz w:val="28"/>
          <w:szCs w:val="28"/>
          <w:highlight w:val="yellow"/>
        </w:rPr>
        <w:lastRenderedPageBreak/>
        <w:t>Heckmann</w:t>
      </w:r>
      <w:proofErr w:type="spellEnd"/>
      <w:r w:rsidRPr="0021480D">
        <w:rPr>
          <w:sz w:val="28"/>
          <w:szCs w:val="28"/>
          <w:highlight w:val="yellow"/>
        </w:rPr>
        <w:t>, Carneiro 2003: Human Capital policy</w:t>
      </w:r>
    </w:p>
    <w:p w:rsidR="004A3EE6" w:rsidRPr="0021480D" w:rsidRDefault="004A3EE6">
      <w:pPr>
        <w:rPr>
          <w:sz w:val="28"/>
          <w:szCs w:val="28"/>
        </w:rPr>
      </w:pPr>
    </w:p>
    <w:p w:rsidR="004A3EE6" w:rsidRPr="0060614C" w:rsidRDefault="0060614C">
      <w:pPr>
        <w:rPr>
          <w:b/>
          <w:bCs/>
          <w:u w:val="single"/>
        </w:rPr>
      </w:pPr>
      <w:proofErr w:type="spellStart"/>
      <w:r w:rsidRPr="0060614C">
        <w:rPr>
          <w:b/>
          <w:bCs/>
          <w:u w:val="single"/>
        </w:rPr>
        <w:t>Übersicht</w:t>
      </w:r>
      <w:proofErr w:type="spellEnd"/>
      <w:r w:rsidRPr="0060614C">
        <w:rPr>
          <w:b/>
          <w:bCs/>
          <w:u w:val="single"/>
        </w:rPr>
        <w:t>:</w:t>
      </w:r>
    </w:p>
    <w:p w:rsidR="004A3EE6" w:rsidRPr="00BA5B89" w:rsidRDefault="00546E07" w:rsidP="0060614C">
      <w:pPr>
        <w:pStyle w:val="Listenabsatz"/>
        <w:numPr>
          <w:ilvl w:val="0"/>
          <w:numId w:val="2"/>
        </w:numPr>
      </w:pPr>
      <w:r>
        <w:t>“</w:t>
      </w:r>
      <w:r w:rsidR="0060614C">
        <w:t xml:space="preserve">This paper considers alternative policies for promoting skill formation that are </w:t>
      </w:r>
      <w:proofErr w:type="spellStart"/>
      <w:r w:rsidR="0060614C">
        <w:t>targetted</w:t>
      </w:r>
      <w:proofErr w:type="spellEnd"/>
      <w:r w:rsidR="0060614C">
        <w:t xml:space="preserve"> to different stages of the life cycle. We demonstrate the importance of both cognitive and noncognitive skills that are formed early in the life cycle in accounting for racial, ethnic and family background gaps in schooling and other dimensions of socioeconomic success. Most of the gaps in college attendance and delay are determined by early family factors. Children from better families and with high ability earn higher returns to schooling. We find only a limited role for tuition policy or family income supplements in eliminating schooling and college attendance gaps. At most 8% of American youth are credit constrained in the traditional usage of that term. The evidence points to a high return to early interventions and a low return to remedial or compensatory interventions later in the life cycle. Skill and ability beget future skill and ability. At current levels of funding, traditional policies like tuition subsidies, improvements in school quality, job training and tax rebates are unlikely to be effective in closing gaps.</w:t>
      </w:r>
      <w:r>
        <w:t>”</w:t>
      </w:r>
    </w:p>
    <w:p w:rsidR="004A3EE6" w:rsidRDefault="004A3EE6"/>
    <w:p w:rsidR="00855CD4" w:rsidRPr="00855CD4" w:rsidRDefault="00855CD4" w:rsidP="00855CD4">
      <w:pPr>
        <w:pStyle w:val="berschrift1"/>
        <w:rPr>
          <w:rFonts w:ascii="Times New Roman" w:hAnsi="Times New Roman" w:cs="Times New Roman"/>
          <w:color w:val="auto"/>
          <w:sz w:val="28"/>
          <w:szCs w:val="28"/>
          <w:lang w:val="de-DE"/>
        </w:rPr>
      </w:pPr>
      <w:proofErr w:type="spellStart"/>
      <w:r w:rsidRPr="00855CD4">
        <w:rPr>
          <w:rFonts w:ascii="Times New Roman" w:hAnsi="Times New Roman" w:cs="Times New Roman"/>
          <w:color w:val="auto"/>
          <w:sz w:val="28"/>
          <w:szCs w:val="28"/>
          <w:highlight w:val="yellow"/>
        </w:rPr>
        <w:t>Kosse</w:t>
      </w:r>
      <w:proofErr w:type="spellEnd"/>
      <w:r w:rsidRPr="00855CD4">
        <w:rPr>
          <w:rFonts w:ascii="Times New Roman" w:hAnsi="Times New Roman" w:cs="Times New Roman"/>
          <w:color w:val="auto"/>
          <w:sz w:val="28"/>
          <w:szCs w:val="28"/>
          <w:highlight w:val="yellow"/>
        </w:rPr>
        <w:t xml:space="preserve"> </w:t>
      </w:r>
      <w:proofErr w:type="spellStart"/>
      <w:r w:rsidRPr="00855CD4">
        <w:rPr>
          <w:rFonts w:ascii="Times New Roman" w:hAnsi="Times New Roman" w:cs="Times New Roman"/>
          <w:color w:val="auto"/>
          <w:sz w:val="28"/>
          <w:szCs w:val="28"/>
          <w:highlight w:val="yellow"/>
        </w:rPr>
        <w:t>usw</w:t>
      </w:r>
      <w:proofErr w:type="spellEnd"/>
      <w:r w:rsidRPr="00855CD4">
        <w:rPr>
          <w:rFonts w:ascii="Times New Roman" w:hAnsi="Times New Roman" w:cs="Times New Roman"/>
          <w:color w:val="auto"/>
          <w:sz w:val="28"/>
          <w:szCs w:val="28"/>
          <w:highlight w:val="yellow"/>
        </w:rPr>
        <w:t xml:space="preserve">: </w:t>
      </w:r>
      <w:r w:rsidRPr="00855CD4">
        <w:rPr>
          <w:rFonts w:ascii="Times New Roman" w:hAnsi="Times New Roman" w:cs="Times New Roman"/>
          <w:color w:val="auto"/>
          <w:sz w:val="28"/>
          <w:szCs w:val="28"/>
          <w:highlight w:val="yellow"/>
        </w:rPr>
        <w:t>How Does Socio-Economic Status Shape a Child's Personality?</w:t>
      </w:r>
    </w:p>
    <w:p w:rsidR="00855CD4" w:rsidRDefault="00855CD4"/>
    <w:p w:rsidR="00855CD4" w:rsidRDefault="00855CD4"/>
    <w:p w:rsidR="00855CD4" w:rsidRPr="00855CD4" w:rsidRDefault="00855CD4">
      <w:pPr>
        <w:rPr>
          <w:b/>
          <w:bCs/>
          <w:u w:val="single"/>
        </w:rPr>
      </w:pPr>
      <w:proofErr w:type="spellStart"/>
      <w:r w:rsidRPr="00855CD4">
        <w:rPr>
          <w:b/>
          <w:bCs/>
          <w:u w:val="single"/>
        </w:rPr>
        <w:t>Übersicht</w:t>
      </w:r>
      <w:proofErr w:type="spellEnd"/>
      <w:r w:rsidRPr="00855CD4">
        <w:rPr>
          <w:b/>
          <w:bCs/>
          <w:u w:val="single"/>
        </w:rPr>
        <w:t>:</w:t>
      </w:r>
    </w:p>
    <w:p w:rsidR="00546E07" w:rsidRDefault="00546E07" w:rsidP="00855CD4">
      <w:pPr>
        <w:pStyle w:val="Listenabsatz"/>
        <w:numPr>
          <w:ilvl w:val="0"/>
          <w:numId w:val="2"/>
        </w:numPr>
      </w:pPr>
      <w:r>
        <w:t>“</w:t>
      </w:r>
      <w:r w:rsidR="00855CD4">
        <w:t>We show that socio-economic status (SES) is a powerful predictor of many facets of a child's personality. The facets of personality we investigate encompass time preferences, risk preferences, and altruism, as well as crystallized and fluid IQ. We measure a family's SES by the mother's and father's average years of education and household income. Our results show that children from families with higher SES are more patient, tend to be more altruistic and less likely to be risk seeking, and score higher on IQ tests.</w:t>
      </w:r>
      <w:r>
        <w:t xml:space="preserve"> </w:t>
      </w:r>
      <w:r w:rsidR="00855CD4">
        <w:t>We also discuss potential pathways through which SES could affect the formation of a child's personality by documenting that many dimensions of a child's environment differ systematically by SES: parenting style, quantity and quality of time parents spend with their children, the mother's IQ and economic preferences, a child's initial conditions at birth, and family structure.</w:t>
      </w:r>
      <w:r>
        <w:t>”</w:t>
      </w:r>
      <w:r w:rsidR="00855CD4">
        <w:t xml:space="preserve"> </w:t>
      </w:r>
    </w:p>
    <w:p w:rsidR="00546E07" w:rsidRDefault="00546E07" w:rsidP="00546E07">
      <w:pPr>
        <w:ind w:left="360"/>
      </w:pPr>
    </w:p>
    <w:p w:rsidR="00546E07" w:rsidRPr="00546E07" w:rsidRDefault="00546E07" w:rsidP="00546E07">
      <w:pPr>
        <w:ind w:left="360"/>
        <w:rPr>
          <w:b/>
          <w:bCs/>
          <w:u w:val="single"/>
        </w:rPr>
      </w:pPr>
      <w:proofErr w:type="spellStart"/>
      <w:r w:rsidRPr="00546E07">
        <w:rPr>
          <w:b/>
          <w:bCs/>
          <w:u w:val="single"/>
        </w:rPr>
        <w:t>Methodik</w:t>
      </w:r>
      <w:proofErr w:type="spellEnd"/>
      <w:r w:rsidRPr="00546E07">
        <w:rPr>
          <w:b/>
          <w:bCs/>
          <w:u w:val="single"/>
        </w:rPr>
        <w:t>:</w:t>
      </w:r>
    </w:p>
    <w:p w:rsidR="004A3EE6" w:rsidRPr="00BA5B89" w:rsidRDefault="00546E07" w:rsidP="00546E07">
      <w:pPr>
        <w:pStyle w:val="Listenabsatz"/>
        <w:numPr>
          <w:ilvl w:val="0"/>
          <w:numId w:val="2"/>
        </w:numPr>
      </w:pPr>
      <w:r>
        <w:t>“</w:t>
      </w:r>
      <w:r w:rsidR="00855CD4">
        <w:t xml:space="preserve">we use panel data to show that the relationship between SES and personality is fairly stable over time at age 7 to 10. Personality profiles that vary systematically with SES might </w:t>
      </w:r>
      <w:proofErr w:type="gramStart"/>
      <w:r w:rsidR="00855CD4">
        <w:t>offer an explanation for</w:t>
      </w:r>
      <w:proofErr w:type="gramEnd"/>
      <w:r w:rsidR="00855CD4">
        <w:t xml:space="preserve"> social immobility.</w:t>
      </w:r>
      <w:r>
        <w:t>”</w:t>
      </w:r>
    </w:p>
    <w:p w:rsidR="004A3EE6" w:rsidRPr="00BA5B89" w:rsidRDefault="004A3EE6"/>
    <w:p w:rsidR="004A3EE6" w:rsidRDefault="004A3EE6"/>
    <w:p w:rsidR="00B94401" w:rsidRDefault="00B94401"/>
    <w:p w:rsidR="00B94401" w:rsidRDefault="00B94401"/>
    <w:p w:rsidR="00B94401" w:rsidRPr="00BA5B89" w:rsidRDefault="00B94401"/>
    <w:p w:rsidR="00142B09" w:rsidRPr="00BA5B89" w:rsidRDefault="00B51E62">
      <w:r w:rsidRPr="00BA5B89">
        <w:t>Literature:</w:t>
      </w:r>
    </w:p>
    <w:p w:rsidR="008E666C" w:rsidRPr="00BA5B89" w:rsidRDefault="008E666C"/>
    <w:p w:rsidR="00B51E62" w:rsidRPr="00BA5B89" w:rsidRDefault="00B51E62"/>
    <w:p w:rsidR="00B51E62" w:rsidRPr="00BA5B89" w:rsidRDefault="00B51E62">
      <w:pPr>
        <w:rPr>
          <w:rStyle w:val="occurrence"/>
        </w:rPr>
      </w:pPr>
      <w:proofErr w:type="spellStart"/>
      <w:r w:rsidRPr="00BA5B89">
        <w:t>Gray</w:t>
      </w:r>
      <w:proofErr w:type="spellEnd"/>
      <w:r w:rsidRPr="00BA5B89">
        <w:t>, Mel/Plath, Debbie/Webb, Stephen A. (2009): Evidence-based Social Work: A Critical Stance. London: Routledge.</w:t>
      </w:r>
      <w:r w:rsidR="00FE3581" w:rsidRPr="00BA5B89">
        <w:t xml:space="preserve"> </w:t>
      </w:r>
      <w:hyperlink r:id="rId5" w:tgtFrame="_blank" w:history="1">
        <w:r w:rsidRPr="00BA5B89">
          <w:rPr>
            <w:rStyle w:val="Hyperlink"/>
          </w:rPr>
          <w:t>Google Scholar</w:t>
        </w:r>
      </w:hyperlink>
    </w:p>
    <w:p w:rsidR="00FE3581" w:rsidRPr="00BA5B89" w:rsidRDefault="00FE3581">
      <w:pPr>
        <w:rPr>
          <w:rStyle w:val="occurrence"/>
        </w:rPr>
      </w:pPr>
      <w:proofErr w:type="spellStart"/>
      <w:r w:rsidRPr="00BA5B89">
        <w:t>McNeece</w:t>
      </w:r>
      <w:proofErr w:type="spellEnd"/>
      <w:r w:rsidRPr="00BA5B89">
        <w:t xml:space="preserve">, Aaron/Thyer, Bruce (2004): Evidence-Based Practice and Social Work. In: Journal of Evidence- Based Social Work, 1 (1), pp.7–25. </w:t>
      </w:r>
      <w:hyperlink r:id="rId6" w:tgtFrame="_blank" w:history="1">
        <w:proofErr w:type="spellStart"/>
        <w:r w:rsidRPr="00BA5B89">
          <w:rPr>
            <w:rStyle w:val="Hyperlink"/>
          </w:rPr>
          <w:t>CrossRef</w:t>
        </w:r>
      </w:hyperlink>
      <w:hyperlink r:id="rId7" w:tgtFrame="_blank" w:history="1">
        <w:r w:rsidRPr="00BA5B89">
          <w:rPr>
            <w:rStyle w:val="Hyperlink"/>
          </w:rPr>
          <w:t>Google</w:t>
        </w:r>
        <w:proofErr w:type="spellEnd"/>
        <w:r w:rsidRPr="00BA5B89">
          <w:rPr>
            <w:rStyle w:val="Hyperlink"/>
          </w:rPr>
          <w:t xml:space="preserve"> Scholar</w:t>
        </w:r>
      </w:hyperlink>
    </w:p>
    <w:p w:rsidR="00FE3581" w:rsidRPr="00BA5B89" w:rsidRDefault="00FE3581">
      <w:pPr>
        <w:rPr>
          <w:rStyle w:val="occurrence"/>
        </w:rPr>
      </w:pPr>
      <w:r w:rsidRPr="00BA5B89">
        <w:t xml:space="preserve">Proctor, Enola K./Rosen, Aaron (2003): The Structure and Function of Social Work Practice Guidelines. In: Proctor, Enola K./Rosen, Aaron (eds.): Developing Practice Guidelines for Social Work Intervention: Issues, Methods, and Research agenda. New York: Columbia, pp.108–127. </w:t>
      </w:r>
      <w:hyperlink r:id="rId8" w:tgtFrame="_blank" w:history="1">
        <w:r w:rsidRPr="00BA5B89">
          <w:rPr>
            <w:rStyle w:val="Hyperlink"/>
          </w:rPr>
          <w:t>Google Scholar</w:t>
        </w:r>
      </w:hyperlink>
    </w:p>
    <w:p w:rsidR="00FE3581" w:rsidRPr="00BA5B89" w:rsidRDefault="00FE3581">
      <w:pPr>
        <w:rPr>
          <w:rStyle w:val="occurrence"/>
        </w:rPr>
      </w:pPr>
      <w:proofErr w:type="spellStart"/>
      <w:r w:rsidRPr="00BA5B89">
        <w:t>Soydan</w:t>
      </w:r>
      <w:proofErr w:type="spellEnd"/>
      <w:r w:rsidRPr="00BA5B89">
        <w:t xml:space="preserve">, </w:t>
      </w:r>
      <w:proofErr w:type="spellStart"/>
      <w:r w:rsidRPr="00BA5B89">
        <w:t>Haluk</w:t>
      </w:r>
      <w:proofErr w:type="spellEnd"/>
      <w:r w:rsidRPr="00BA5B89">
        <w:t xml:space="preserve"> (2009): Towards the gold standard of impact research in Social Work – avoiding threats to validity. In: Otto, Hans-Uwe/</w:t>
      </w:r>
      <w:proofErr w:type="spellStart"/>
      <w:r w:rsidRPr="00BA5B89">
        <w:t>Polutta</w:t>
      </w:r>
      <w:proofErr w:type="spellEnd"/>
      <w:r w:rsidRPr="00BA5B89">
        <w:t xml:space="preserve">, Andreas/Ziegler, Holger (eds.): Evidence-based Practice – Modernising the </w:t>
      </w:r>
      <w:proofErr w:type="spellStart"/>
      <w:r w:rsidRPr="00BA5B89">
        <w:t>Knowledege</w:t>
      </w:r>
      <w:proofErr w:type="spellEnd"/>
      <w:r w:rsidRPr="00BA5B89">
        <w:t xml:space="preserve"> Base of Social Work? </w:t>
      </w:r>
      <w:proofErr w:type="spellStart"/>
      <w:r w:rsidRPr="00BA5B89">
        <w:t>Opladen</w:t>
      </w:r>
      <w:proofErr w:type="spellEnd"/>
      <w:r w:rsidRPr="00BA5B89">
        <w:t xml:space="preserve"> &amp; Farmington Hills: Barbara </w:t>
      </w:r>
      <w:proofErr w:type="spellStart"/>
      <w:r w:rsidRPr="00BA5B89">
        <w:t>Budrich</w:t>
      </w:r>
      <w:proofErr w:type="spellEnd"/>
      <w:r w:rsidRPr="00BA5B89">
        <w:t xml:space="preserve"> Publishers, pp.111–137. </w:t>
      </w:r>
      <w:hyperlink r:id="rId9" w:tgtFrame="_blank" w:history="1">
        <w:r w:rsidRPr="00BA5B89">
          <w:rPr>
            <w:rStyle w:val="Hyperlink"/>
          </w:rPr>
          <w:t>Google Scholar</w:t>
        </w:r>
      </w:hyperlink>
    </w:p>
    <w:p w:rsidR="00BF4567" w:rsidRPr="00BA5B89" w:rsidRDefault="0012288C" w:rsidP="00BF4567">
      <w:pPr>
        <w:spacing w:before="100" w:beforeAutospacing="1" w:after="100" w:afterAutospacing="1" w:line="240" w:lineRule="auto"/>
        <w:outlineLvl w:val="2"/>
        <w:rPr>
          <w:rFonts w:eastAsia="Times New Roman" w:cs="Times New Roman"/>
          <w:b/>
          <w:bCs/>
          <w:sz w:val="27"/>
          <w:szCs w:val="27"/>
          <w:lang w:eastAsia="de-DE"/>
        </w:rPr>
      </w:pPr>
      <w:hyperlink r:id="rId10" w:history="1">
        <w:r w:rsidR="00BF4567" w:rsidRPr="00BA5B89">
          <w:rPr>
            <w:rFonts w:eastAsia="Times New Roman" w:cs="Times New Roman"/>
            <w:b/>
            <w:bCs/>
            <w:color w:val="0000FF"/>
            <w:sz w:val="27"/>
            <w:szCs w:val="27"/>
            <w:u w:val="single"/>
            <w:lang w:eastAsia="de-DE"/>
          </w:rPr>
          <w:t xml:space="preserve">How does </w:t>
        </w:r>
        <w:r w:rsidR="00BF4567" w:rsidRPr="00BA5B89">
          <w:rPr>
            <w:rFonts w:eastAsia="Times New Roman" w:cs="Times New Roman"/>
            <w:b/>
            <w:bCs/>
            <w:color w:val="0000FF"/>
            <w:sz w:val="27"/>
            <w:szCs w:val="27"/>
            <w:u w:val="single"/>
            <w:lang w:eastAsia="de-DE"/>
          </w:rPr>
          <w:t>s</w:t>
        </w:r>
        <w:r w:rsidR="00BF4567" w:rsidRPr="00BA5B89">
          <w:rPr>
            <w:rFonts w:eastAsia="Times New Roman" w:cs="Times New Roman"/>
            <w:b/>
            <w:bCs/>
            <w:color w:val="0000FF"/>
            <w:sz w:val="27"/>
            <w:szCs w:val="27"/>
            <w:u w:val="single"/>
            <w:lang w:eastAsia="de-DE"/>
          </w:rPr>
          <w:t>ocio-economic status shape a child's personality?</w:t>
        </w:r>
      </w:hyperlink>
    </w:p>
    <w:p w:rsidR="00BF4567" w:rsidRPr="00BA5B89" w:rsidRDefault="00BF4567" w:rsidP="00BF4567">
      <w:pPr>
        <w:spacing w:after="0" w:line="240" w:lineRule="auto"/>
        <w:rPr>
          <w:rFonts w:eastAsia="Times New Roman" w:cs="Times New Roman"/>
          <w:szCs w:val="24"/>
          <w:lang w:eastAsia="de-DE"/>
        </w:rPr>
      </w:pPr>
      <w:r w:rsidRPr="00BA5B89">
        <w:rPr>
          <w:rFonts w:eastAsia="Times New Roman" w:cs="Times New Roman"/>
          <w:szCs w:val="24"/>
          <w:lang w:eastAsia="de-DE"/>
        </w:rPr>
        <w:t xml:space="preserve">T </w:t>
      </w:r>
      <w:proofErr w:type="spellStart"/>
      <w:r w:rsidRPr="00BA5B89">
        <w:rPr>
          <w:rFonts w:eastAsia="Times New Roman" w:cs="Times New Roman"/>
          <w:szCs w:val="24"/>
          <w:lang w:eastAsia="de-DE"/>
        </w:rPr>
        <w:t>Deckers</w:t>
      </w:r>
      <w:proofErr w:type="spellEnd"/>
      <w:r w:rsidRPr="00BA5B89">
        <w:rPr>
          <w:rFonts w:eastAsia="Times New Roman" w:cs="Times New Roman"/>
          <w:szCs w:val="24"/>
          <w:lang w:eastAsia="de-DE"/>
        </w:rPr>
        <w:t xml:space="preserve">, </w:t>
      </w:r>
      <w:hyperlink r:id="rId11" w:history="1">
        <w:r w:rsidRPr="00BA5B89">
          <w:rPr>
            <w:rFonts w:eastAsia="Times New Roman" w:cs="Times New Roman"/>
            <w:color w:val="0000FF"/>
            <w:szCs w:val="24"/>
            <w:u w:val="single"/>
            <w:lang w:eastAsia="de-DE"/>
          </w:rPr>
          <w:t>A Falk</w:t>
        </w:r>
      </w:hyperlink>
      <w:r w:rsidRPr="00BA5B89">
        <w:rPr>
          <w:rFonts w:eastAsia="Times New Roman" w:cs="Times New Roman"/>
          <w:szCs w:val="24"/>
          <w:lang w:eastAsia="de-DE"/>
        </w:rPr>
        <w:t xml:space="preserve">, </w:t>
      </w:r>
      <w:hyperlink r:id="rId12" w:history="1">
        <w:r w:rsidRPr="00BA5B89">
          <w:rPr>
            <w:rFonts w:eastAsia="Times New Roman" w:cs="Times New Roman"/>
            <w:color w:val="0000FF"/>
            <w:szCs w:val="24"/>
            <w:u w:val="single"/>
            <w:lang w:eastAsia="de-DE"/>
          </w:rPr>
          <w:t xml:space="preserve">F </w:t>
        </w:r>
        <w:proofErr w:type="spellStart"/>
        <w:r w:rsidRPr="00BA5B89">
          <w:rPr>
            <w:rFonts w:eastAsia="Times New Roman" w:cs="Times New Roman"/>
            <w:b/>
            <w:bCs/>
            <w:color w:val="0000FF"/>
            <w:szCs w:val="24"/>
            <w:u w:val="single"/>
            <w:lang w:eastAsia="de-DE"/>
          </w:rPr>
          <w:t>Kosse</w:t>
        </w:r>
        <w:proofErr w:type="spellEnd"/>
      </w:hyperlink>
      <w:r w:rsidRPr="00BA5B89">
        <w:rPr>
          <w:rFonts w:eastAsia="Times New Roman" w:cs="Times New Roman"/>
          <w:szCs w:val="24"/>
          <w:lang w:eastAsia="de-DE"/>
        </w:rPr>
        <w:t xml:space="preserve">, H </w:t>
      </w:r>
      <w:proofErr w:type="spellStart"/>
      <w:r w:rsidRPr="00BA5B89">
        <w:rPr>
          <w:rFonts w:eastAsia="Times New Roman" w:cs="Times New Roman"/>
          <w:szCs w:val="24"/>
          <w:lang w:eastAsia="de-DE"/>
        </w:rPr>
        <w:t>Schildberg-Hörisch</w:t>
      </w:r>
      <w:proofErr w:type="spellEnd"/>
      <w:r w:rsidRPr="00BA5B89">
        <w:rPr>
          <w:rFonts w:eastAsia="Times New Roman" w:cs="Times New Roman"/>
          <w:szCs w:val="24"/>
          <w:lang w:eastAsia="de-DE"/>
        </w:rPr>
        <w:t xml:space="preserve"> - 2015 - papers.ssrn.com</w:t>
      </w:r>
    </w:p>
    <w:p w:rsidR="00FE3581" w:rsidRPr="00BA5B89" w:rsidRDefault="00FE3581"/>
    <w:p w:rsidR="005B2092" w:rsidRPr="00BA5B89" w:rsidRDefault="0012288C" w:rsidP="005B2092">
      <w:pPr>
        <w:spacing w:before="100" w:beforeAutospacing="1" w:after="100" w:afterAutospacing="1" w:line="240" w:lineRule="auto"/>
        <w:outlineLvl w:val="2"/>
        <w:rPr>
          <w:rFonts w:eastAsia="Times New Roman" w:cs="Times New Roman"/>
          <w:b/>
          <w:bCs/>
          <w:sz w:val="27"/>
          <w:szCs w:val="27"/>
          <w:lang w:eastAsia="de-DE"/>
        </w:rPr>
      </w:pPr>
      <w:hyperlink r:id="rId13" w:history="1">
        <w:r w:rsidR="005B2092" w:rsidRPr="00BA5B89">
          <w:rPr>
            <w:rFonts w:eastAsia="Times New Roman" w:cs="Times New Roman"/>
            <w:b/>
            <w:bCs/>
            <w:color w:val="0000FF"/>
            <w:sz w:val="27"/>
            <w:szCs w:val="27"/>
            <w:u w:val="single"/>
            <w:lang w:eastAsia="de-DE"/>
          </w:rPr>
          <w:t xml:space="preserve">The formation of </w:t>
        </w:r>
        <w:proofErr w:type="spellStart"/>
        <w:r w:rsidR="005B2092" w:rsidRPr="00BA5B89">
          <w:rPr>
            <w:rFonts w:eastAsia="Times New Roman" w:cs="Times New Roman"/>
            <w:b/>
            <w:bCs/>
            <w:color w:val="0000FF"/>
            <w:sz w:val="27"/>
            <w:szCs w:val="27"/>
            <w:u w:val="single"/>
            <w:lang w:eastAsia="de-DE"/>
          </w:rPr>
          <w:t>prosociality</w:t>
        </w:r>
        <w:proofErr w:type="spellEnd"/>
        <w:r w:rsidR="005B2092" w:rsidRPr="00BA5B89">
          <w:rPr>
            <w:rFonts w:eastAsia="Times New Roman" w:cs="Times New Roman"/>
            <w:b/>
            <w:bCs/>
            <w:color w:val="0000FF"/>
            <w:sz w:val="27"/>
            <w:szCs w:val="27"/>
            <w:u w:val="single"/>
            <w:lang w:eastAsia="de-DE"/>
          </w:rPr>
          <w:t>: causal evidence on the role of social environment</w:t>
        </w:r>
      </w:hyperlink>
    </w:p>
    <w:p w:rsidR="005B2092" w:rsidRPr="00BA5B89" w:rsidRDefault="0012288C" w:rsidP="005B2092">
      <w:pPr>
        <w:spacing w:after="0" w:line="240" w:lineRule="auto"/>
        <w:rPr>
          <w:rFonts w:eastAsia="Times New Roman" w:cs="Times New Roman"/>
          <w:szCs w:val="24"/>
          <w:lang w:eastAsia="de-DE"/>
        </w:rPr>
      </w:pPr>
      <w:hyperlink r:id="rId14" w:history="1">
        <w:r w:rsidR="005B2092" w:rsidRPr="00BA5B89">
          <w:rPr>
            <w:rFonts w:eastAsia="Times New Roman" w:cs="Times New Roman"/>
            <w:color w:val="0000FF"/>
            <w:szCs w:val="24"/>
            <w:u w:val="single"/>
            <w:lang w:eastAsia="de-DE"/>
          </w:rPr>
          <w:t xml:space="preserve">F </w:t>
        </w:r>
        <w:proofErr w:type="spellStart"/>
        <w:r w:rsidR="005B2092" w:rsidRPr="00BA5B89">
          <w:rPr>
            <w:rFonts w:eastAsia="Times New Roman" w:cs="Times New Roman"/>
            <w:b/>
            <w:bCs/>
            <w:color w:val="0000FF"/>
            <w:szCs w:val="24"/>
            <w:u w:val="single"/>
            <w:lang w:eastAsia="de-DE"/>
          </w:rPr>
          <w:t>Kosse</w:t>
        </w:r>
        <w:proofErr w:type="spellEnd"/>
      </w:hyperlink>
      <w:r w:rsidR="005B2092" w:rsidRPr="00BA5B89">
        <w:rPr>
          <w:rFonts w:eastAsia="Times New Roman" w:cs="Times New Roman"/>
          <w:szCs w:val="24"/>
          <w:lang w:eastAsia="de-DE"/>
        </w:rPr>
        <w:t xml:space="preserve">, T </w:t>
      </w:r>
      <w:proofErr w:type="spellStart"/>
      <w:r w:rsidR="005B2092" w:rsidRPr="00BA5B89">
        <w:rPr>
          <w:rFonts w:eastAsia="Times New Roman" w:cs="Times New Roman"/>
          <w:szCs w:val="24"/>
          <w:lang w:eastAsia="de-DE"/>
        </w:rPr>
        <w:t>Deckers</w:t>
      </w:r>
      <w:proofErr w:type="spellEnd"/>
      <w:r w:rsidR="005B2092" w:rsidRPr="00BA5B89">
        <w:rPr>
          <w:rFonts w:eastAsia="Times New Roman" w:cs="Times New Roman"/>
          <w:szCs w:val="24"/>
          <w:lang w:eastAsia="de-DE"/>
        </w:rPr>
        <w:t xml:space="preserve">, </w:t>
      </w:r>
      <w:hyperlink r:id="rId15" w:history="1">
        <w:r w:rsidR="005B2092" w:rsidRPr="00BA5B89">
          <w:rPr>
            <w:rFonts w:eastAsia="Times New Roman" w:cs="Times New Roman"/>
            <w:color w:val="0000FF"/>
            <w:szCs w:val="24"/>
            <w:u w:val="single"/>
            <w:lang w:eastAsia="de-DE"/>
          </w:rPr>
          <w:t>P Pinger</w:t>
        </w:r>
      </w:hyperlink>
      <w:r w:rsidR="005B2092" w:rsidRPr="00BA5B89">
        <w:rPr>
          <w:rFonts w:eastAsia="Times New Roman" w:cs="Times New Roman"/>
          <w:szCs w:val="24"/>
          <w:lang w:eastAsia="de-DE"/>
        </w:rPr>
        <w:t>… - Journal of Political …, 2020 - journals.uchicago.edu</w:t>
      </w:r>
    </w:p>
    <w:p w:rsidR="005B2092" w:rsidRDefault="005B2092"/>
    <w:p w:rsidR="007C6C0A" w:rsidRDefault="007C6C0A"/>
    <w:p w:rsidR="00594461" w:rsidRDefault="00594461">
      <w:proofErr w:type="spellStart"/>
      <w:r>
        <w:t>Wichtig</w:t>
      </w:r>
      <w:r w:rsidR="007C6C0A">
        <w:t>es</w:t>
      </w:r>
      <w:proofErr w:type="spellEnd"/>
      <w:r w:rsidR="007C6C0A">
        <w:t xml:space="preserve"> paper</w:t>
      </w:r>
      <w:r w:rsidR="007307E6">
        <w:t xml:space="preserve"> </w:t>
      </w:r>
      <w:proofErr w:type="spellStart"/>
      <w:r w:rsidR="007307E6">
        <w:t>für</w:t>
      </w:r>
      <w:proofErr w:type="spellEnd"/>
      <w:r w:rsidR="007307E6">
        <w:t xml:space="preserve"> </w:t>
      </w:r>
      <w:proofErr w:type="spellStart"/>
      <w:r w:rsidR="007307E6">
        <w:t>relevanz</w:t>
      </w:r>
      <w:proofErr w:type="spellEnd"/>
      <w:r w:rsidR="007307E6">
        <w:t xml:space="preserve"> von CHILDREN</w:t>
      </w:r>
      <w:r w:rsidR="007C6C0A">
        <w:t>:</w:t>
      </w:r>
    </w:p>
    <w:p w:rsidR="00594461" w:rsidRDefault="00594461" w:rsidP="00594461">
      <w:pPr>
        <w:pStyle w:val="berschrift3"/>
      </w:pPr>
      <w:hyperlink r:id="rId16" w:history="1">
        <w:r>
          <w:rPr>
            <w:rStyle w:val="Hyperlink"/>
          </w:rPr>
          <w:t xml:space="preserve">Human </w:t>
        </w:r>
        <w:proofErr w:type="spellStart"/>
        <w:r>
          <w:rPr>
            <w:rStyle w:val="Hyperlink"/>
          </w:rPr>
          <w:t>capital</w:t>
        </w:r>
        <w:proofErr w:type="spellEnd"/>
        <w:r>
          <w:rPr>
            <w:rStyle w:val="Hyperlink"/>
          </w:rPr>
          <w:t xml:space="preserve"> </w:t>
        </w:r>
        <w:proofErr w:type="spellStart"/>
        <w:r>
          <w:rPr>
            <w:rStyle w:val="Hyperlink"/>
          </w:rPr>
          <w:t>p</w:t>
        </w:r>
        <w:r>
          <w:rPr>
            <w:rStyle w:val="Hyperlink"/>
          </w:rPr>
          <w:t>o</w:t>
        </w:r>
        <w:r>
          <w:rPr>
            <w:rStyle w:val="Hyperlink"/>
          </w:rPr>
          <w:t>licy</w:t>
        </w:r>
        <w:proofErr w:type="spellEnd"/>
      </w:hyperlink>
    </w:p>
    <w:p w:rsidR="00594461" w:rsidRDefault="00594461" w:rsidP="00594461">
      <w:hyperlink r:id="rId17" w:history="1">
        <w:r>
          <w:rPr>
            <w:rStyle w:val="Hyperlink"/>
          </w:rPr>
          <w:t xml:space="preserve">J </w:t>
        </w:r>
        <w:r>
          <w:rPr>
            <w:rStyle w:val="Hyperlink"/>
            <w:b/>
            <w:bCs/>
          </w:rPr>
          <w:t>Heckman</w:t>
        </w:r>
      </w:hyperlink>
      <w:r>
        <w:t xml:space="preserve">, </w:t>
      </w:r>
      <w:hyperlink r:id="rId18" w:history="1">
        <w:r>
          <w:rPr>
            <w:rStyle w:val="Hyperlink"/>
          </w:rPr>
          <w:t xml:space="preserve">P </w:t>
        </w:r>
        <w:r>
          <w:rPr>
            <w:rStyle w:val="Hyperlink"/>
            <w:b/>
            <w:bCs/>
          </w:rPr>
          <w:t>Carneiro</w:t>
        </w:r>
      </w:hyperlink>
      <w:r>
        <w:t xml:space="preserve"> - </w:t>
      </w:r>
      <w:r>
        <w:rPr>
          <w:b/>
          <w:bCs/>
        </w:rPr>
        <w:t>2003</w:t>
      </w:r>
      <w:r>
        <w:t xml:space="preserve"> - nber.org</w:t>
      </w:r>
    </w:p>
    <w:p w:rsidR="00594461" w:rsidRPr="00BA5B89" w:rsidRDefault="00594461"/>
    <w:sectPr w:rsidR="00594461" w:rsidRPr="00BA5B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343CA"/>
    <w:multiLevelType w:val="hybridMultilevel"/>
    <w:tmpl w:val="E5162B82"/>
    <w:lvl w:ilvl="0" w:tplc="D032C9E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EEF6402"/>
    <w:multiLevelType w:val="hybridMultilevel"/>
    <w:tmpl w:val="72080BEC"/>
    <w:lvl w:ilvl="0" w:tplc="9152974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E62"/>
    <w:rsid w:val="000A6AB1"/>
    <w:rsid w:val="0012288C"/>
    <w:rsid w:val="00142B09"/>
    <w:rsid w:val="001B0F46"/>
    <w:rsid w:val="0021480D"/>
    <w:rsid w:val="002B57FE"/>
    <w:rsid w:val="00346E2B"/>
    <w:rsid w:val="00406CA3"/>
    <w:rsid w:val="004A3EE6"/>
    <w:rsid w:val="00546E07"/>
    <w:rsid w:val="00594461"/>
    <w:rsid w:val="005B2092"/>
    <w:rsid w:val="005E0919"/>
    <w:rsid w:val="00600865"/>
    <w:rsid w:val="0060614C"/>
    <w:rsid w:val="007307E6"/>
    <w:rsid w:val="007C6C0A"/>
    <w:rsid w:val="00855CD4"/>
    <w:rsid w:val="008737F2"/>
    <w:rsid w:val="008E666C"/>
    <w:rsid w:val="00965AA1"/>
    <w:rsid w:val="00A60B0C"/>
    <w:rsid w:val="00AF76E1"/>
    <w:rsid w:val="00B51E62"/>
    <w:rsid w:val="00B94401"/>
    <w:rsid w:val="00BA5B89"/>
    <w:rsid w:val="00BF4567"/>
    <w:rsid w:val="00E15D4E"/>
    <w:rsid w:val="00F95F35"/>
    <w:rsid w:val="00FD3EAD"/>
    <w:rsid w:val="00FE35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B100"/>
  <w15:chartTrackingRefBased/>
  <w15:docId w15:val="{EC5B43CC-B10D-406B-9F0C-BCA541EE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AF76E1"/>
    <w:rPr>
      <w:rFonts w:ascii="Times New Roman" w:hAnsi="Times New Roman"/>
      <w:sz w:val="24"/>
      <w:lang w:val="en-GB"/>
    </w:rPr>
  </w:style>
  <w:style w:type="paragraph" w:styleId="berschrift1">
    <w:name w:val="heading 1"/>
    <w:basedOn w:val="Standard"/>
    <w:next w:val="Standard"/>
    <w:link w:val="berschrift1Zchn"/>
    <w:uiPriority w:val="9"/>
    <w:qFormat/>
    <w:rsid w:val="00855C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link w:val="berschrift3Zchn"/>
    <w:uiPriority w:val="9"/>
    <w:qFormat/>
    <w:rsid w:val="00BF4567"/>
    <w:pPr>
      <w:spacing w:before="100" w:beforeAutospacing="1" w:after="100" w:afterAutospacing="1" w:line="240" w:lineRule="auto"/>
      <w:outlineLvl w:val="2"/>
    </w:pPr>
    <w:rPr>
      <w:rFonts w:eastAsia="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occurrence">
    <w:name w:val="occurrence"/>
    <w:basedOn w:val="Absatz-Standardschriftart"/>
    <w:rsid w:val="00B51E62"/>
  </w:style>
  <w:style w:type="character" w:styleId="Hyperlink">
    <w:name w:val="Hyperlink"/>
    <w:basedOn w:val="Absatz-Standardschriftart"/>
    <w:uiPriority w:val="99"/>
    <w:semiHidden/>
    <w:unhideWhenUsed/>
    <w:rsid w:val="00B51E62"/>
    <w:rPr>
      <w:color w:val="0000FF"/>
      <w:u w:val="single"/>
    </w:rPr>
  </w:style>
  <w:style w:type="character" w:styleId="BesuchterLink">
    <w:name w:val="FollowedHyperlink"/>
    <w:basedOn w:val="Absatz-Standardschriftart"/>
    <w:uiPriority w:val="99"/>
    <w:semiHidden/>
    <w:unhideWhenUsed/>
    <w:rsid w:val="00FE3581"/>
    <w:rPr>
      <w:color w:val="954F72" w:themeColor="followedHyperlink"/>
      <w:u w:val="single"/>
    </w:rPr>
  </w:style>
  <w:style w:type="paragraph" w:styleId="Sprechblasentext">
    <w:name w:val="Balloon Text"/>
    <w:basedOn w:val="Standard"/>
    <w:link w:val="SprechblasentextZchn"/>
    <w:uiPriority w:val="99"/>
    <w:semiHidden/>
    <w:unhideWhenUsed/>
    <w:rsid w:val="00965AA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65AA1"/>
    <w:rPr>
      <w:rFonts w:ascii="Segoe UI" w:hAnsi="Segoe UI" w:cs="Segoe UI"/>
      <w:sz w:val="18"/>
      <w:szCs w:val="18"/>
      <w:lang w:val="en-GB"/>
    </w:rPr>
  </w:style>
  <w:style w:type="character" w:customStyle="1" w:styleId="berschrift3Zchn">
    <w:name w:val="Überschrift 3 Zchn"/>
    <w:basedOn w:val="Absatz-Standardschriftart"/>
    <w:link w:val="berschrift3"/>
    <w:uiPriority w:val="9"/>
    <w:rsid w:val="00BF4567"/>
    <w:rPr>
      <w:rFonts w:ascii="Times New Roman" w:eastAsia="Times New Roman" w:hAnsi="Times New Roman" w:cs="Times New Roman"/>
      <w:b/>
      <w:bCs/>
      <w:sz w:val="27"/>
      <w:szCs w:val="27"/>
      <w:lang w:eastAsia="de-DE"/>
    </w:rPr>
  </w:style>
  <w:style w:type="paragraph" w:styleId="Listenabsatz">
    <w:name w:val="List Paragraph"/>
    <w:basedOn w:val="Standard"/>
    <w:uiPriority w:val="34"/>
    <w:qFormat/>
    <w:rsid w:val="005E0919"/>
    <w:pPr>
      <w:ind w:left="720"/>
      <w:contextualSpacing/>
    </w:pPr>
  </w:style>
  <w:style w:type="character" w:customStyle="1" w:styleId="berschrift1Zchn">
    <w:name w:val="Überschrift 1 Zchn"/>
    <w:basedOn w:val="Absatz-Standardschriftart"/>
    <w:link w:val="berschrift1"/>
    <w:uiPriority w:val="9"/>
    <w:rsid w:val="00855CD4"/>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3258">
      <w:bodyDiv w:val="1"/>
      <w:marLeft w:val="0"/>
      <w:marRight w:val="0"/>
      <w:marTop w:val="0"/>
      <w:marBottom w:val="0"/>
      <w:divBdr>
        <w:top w:val="none" w:sz="0" w:space="0" w:color="auto"/>
        <w:left w:val="none" w:sz="0" w:space="0" w:color="auto"/>
        <w:bottom w:val="none" w:sz="0" w:space="0" w:color="auto"/>
        <w:right w:val="none" w:sz="0" w:space="0" w:color="auto"/>
      </w:divBdr>
      <w:divsChild>
        <w:div w:id="1172794375">
          <w:marLeft w:val="0"/>
          <w:marRight w:val="0"/>
          <w:marTop w:val="0"/>
          <w:marBottom w:val="0"/>
          <w:divBdr>
            <w:top w:val="none" w:sz="0" w:space="0" w:color="auto"/>
            <w:left w:val="none" w:sz="0" w:space="0" w:color="auto"/>
            <w:bottom w:val="none" w:sz="0" w:space="0" w:color="auto"/>
            <w:right w:val="none" w:sz="0" w:space="0" w:color="auto"/>
          </w:divBdr>
        </w:div>
      </w:divsChild>
    </w:div>
    <w:div w:id="705060134">
      <w:bodyDiv w:val="1"/>
      <w:marLeft w:val="0"/>
      <w:marRight w:val="0"/>
      <w:marTop w:val="0"/>
      <w:marBottom w:val="0"/>
      <w:divBdr>
        <w:top w:val="none" w:sz="0" w:space="0" w:color="auto"/>
        <w:left w:val="none" w:sz="0" w:space="0" w:color="auto"/>
        <w:bottom w:val="none" w:sz="0" w:space="0" w:color="auto"/>
        <w:right w:val="none" w:sz="0" w:space="0" w:color="auto"/>
      </w:divBdr>
      <w:divsChild>
        <w:div w:id="1135487297">
          <w:marLeft w:val="0"/>
          <w:marRight w:val="0"/>
          <w:marTop w:val="0"/>
          <w:marBottom w:val="0"/>
          <w:divBdr>
            <w:top w:val="none" w:sz="0" w:space="0" w:color="auto"/>
            <w:left w:val="none" w:sz="0" w:space="0" w:color="auto"/>
            <w:bottom w:val="none" w:sz="0" w:space="0" w:color="auto"/>
            <w:right w:val="none" w:sz="0" w:space="0" w:color="auto"/>
          </w:divBdr>
        </w:div>
      </w:divsChild>
    </w:div>
    <w:div w:id="1725372063">
      <w:bodyDiv w:val="1"/>
      <w:marLeft w:val="0"/>
      <w:marRight w:val="0"/>
      <w:marTop w:val="0"/>
      <w:marBottom w:val="0"/>
      <w:divBdr>
        <w:top w:val="none" w:sz="0" w:space="0" w:color="auto"/>
        <w:left w:val="none" w:sz="0" w:space="0" w:color="auto"/>
        <w:bottom w:val="none" w:sz="0" w:space="0" w:color="auto"/>
        <w:right w:val="none" w:sz="0" w:space="0" w:color="auto"/>
      </w:divBdr>
    </w:div>
    <w:div w:id="1799840367">
      <w:bodyDiv w:val="1"/>
      <w:marLeft w:val="0"/>
      <w:marRight w:val="0"/>
      <w:marTop w:val="0"/>
      <w:marBottom w:val="0"/>
      <w:divBdr>
        <w:top w:val="none" w:sz="0" w:space="0" w:color="auto"/>
        <w:left w:val="none" w:sz="0" w:space="0" w:color="auto"/>
        <w:bottom w:val="none" w:sz="0" w:space="0" w:color="auto"/>
        <w:right w:val="none" w:sz="0" w:space="0" w:color="auto"/>
      </w:divBdr>
      <w:divsChild>
        <w:div w:id="1898197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lar.google.com/scholar_lookup?title=The%20Structure%20and%20Function%20of%20Social%20Work%20Practice%20Guidelines&amp;author=Enola%20K..%20Proctor&amp;author=Aaron.%20Rosen&amp;pages=108-127&amp;publication_year=2003" TargetMode="External"/><Relationship Id="rId13" Type="http://schemas.openxmlformats.org/officeDocument/2006/relationships/hyperlink" Target="https://www.journals.uchicago.edu/doi/full/10.1086/704386" TargetMode="External"/><Relationship Id="rId18" Type="http://schemas.openxmlformats.org/officeDocument/2006/relationships/hyperlink" Target="https://scholar.google.de/citations?user=ocmc7T8AAAAJ&amp;hl=de&amp;oi=sra" TargetMode="External"/><Relationship Id="rId3" Type="http://schemas.openxmlformats.org/officeDocument/2006/relationships/settings" Target="settings.xml"/><Relationship Id="rId7" Type="http://schemas.openxmlformats.org/officeDocument/2006/relationships/hyperlink" Target="http://scholar.google.com/scholar_lookup?title=Evidence-Based%20Practice%20and%20Social%20Work&amp;author=Aaron.%20McNeece&amp;author=Bruce.%20Thyer&amp;journal=Journal%20of%20Evidence-%20Based%20Social%20Work&amp;volume=1&amp;issue=1&amp;pages=7-25&amp;publication_year=2004" TargetMode="External"/><Relationship Id="rId12" Type="http://schemas.openxmlformats.org/officeDocument/2006/relationships/hyperlink" Target="https://scholar.google.de/citations?user=2KyjUjgAAAAJ&amp;hl=de&amp;oi=sra" TargetMode="External"/><Relationship Id="rId17" Type="http://schemas.openxmlformats.org/officeDocument/2006/relationships/hyperlink" Target="https://scholar.google.de/citations?user=7EelTwgAAAAJ&amp;hl=de&amp;oi=sra" TargetMode="External"/><Relationship Id="rId2" Type="http://schemas.openxmlformats.org/officeDocument/2006/relationships/styles" Target="styles.xml"/><Relationship Id="rId16" Type="http://schemas.openxmlformats.org/officeDocument/2006/relationships/hyperlink" Target="https://www.nber.org/papers/w949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300/J394v01n01_02" TargetMode="External"/><Relationship Id="rId11" Type="http://schemas.openxmlformats.org/officeDocument/2006/relationships/hyperlink" Target="https://scholar.google.de/citations?user=IBtkgvgAAAAJ&amp;hl=de&amp;oi=sra" TargetMode="External"/><Relationship Id="rId5" Type="http://schemas.openxmlformats.org/officeDocument/2006/relationships/hyperlink" Target="http://scholar.google.com/scholar_lookup?title=Evidence-based%20Social%20Work%3A%20A%20Critical%20Stance&amp;author=Mel.%20Gray&amp;author=Debbie.%20Plath&amp;author=Stephen%20A..%20Webb&amp;publication_year=2009" TargetMode="External"/><Relationship Id="rId15" Type="http://schemas.openxmlformats.org/officeDocument/2006/relationships/hyperlink" Target="https://scholar.google.de/citations?user=FPBOEmwAAAAJ&amp;hl=de&amp;oi=sra" TargetMode="External"/><Relationship Id="rId10" Type="http://schemas.openxmlformats.org/officeDocument/2006/relationships/hyperlink" Target="https://papers.ssrn.com/sol3/papers.cfm?abstract_id=259891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olar.google.com/scholar_lookup?title=Towards%20the%20gold%20standard%20of%20impact%20research%20in%20Social%20Work%20%E2%80%93%20avoiding%20threats%20to%20validity&amp;author=Haluk.%20Soydan&amp;pages=111-137&amp;publication_year=2009" TargetMode="External"/><Relationship Id="rId14" Type="http://schemas.openxmlformats.org/officeDocument/2006/relationships/hyperlink" Target="https://scholar.google.de/citations?user=2KyjUjgAAAAJ&amp;hl=de&amp;oi=sr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958</Words>
  <Characters>6040</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Kirschner</dc:creator>
  <cp:keywords/>
  <dc:description/>
  <cp:lastModifiedBy>Jonathan Kirschner</cp:lastModifiedBy>
  <cp:revision>10</cp:revision>
  <dcterms:created xsi:type="dcterms:W3CDTF">2020-02-25T14:00:00Z</dcterms:created>
  <dcterms:modified xsi:type="dcterms:W3CDTF">2020-02-25T23:10:00Z</dcterms:modified>
</cp:coreProperties>
</file>