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817" w:rsidRPr="001A5C70" w:rsidRDefault="001A5C70" w:rsidP="00C83C42">
      <w:pPr>
        <w:spacing w:line="276" w:lineRule="auto"/>
        <w:contextualSpacing/>
        <w:jc w:val="center"/>
        <w:rPr>
          <w:u w:val="single"/>
        </w:rPr>
      </w:pPr>
      <w:r w:rsidRPr="001A5C70">
        <w:rPr>
          <w:u w:val="single"/>
        </w:rPr>
        <w:t>DiD-Estimation</w:t>
      </w:r>
    </w:p>
    <w:p w:rsidR="001A5C70" w:rsidRDefault="001A5C70" w:rsidP="00C83C42">
      <w:pPr>
        <w:spacing w:line="276" w:lineRule="auto"/>
        <w:contextualSpacing/>
        <w:jc w:val="center"/>
      </w:pPr>
    </w:p>
    <w:p w:rsidR="00C83C42" w:rsidRPr="001A5C70" w:rsidRDefault="00D91D1E" w:rsidP="00C83C42">
      <w:pPr>
        <w:pStyle w:val="Listenabsatz"/>
        <w:numPr>
          <w:ilvl w:val="0"/>
          <w:numId w:val="3"/>
        </w:numPr>
        <w:spacing w:line="276" w:lineRule="auto"/>
        <w:rPr>
          <w:sz w:val="21"/>
          <w:szCs w:val="21"/>
          <w:u w:val="single"/>
        </w:rPr>
      </w:pP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dayToDaySkills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it</m:t>
            </m:r>
          </m:sub>
        </m:sSub>
      </m:oMath>
      <w:r w:rsidR="00C83C42">
        <w:rPr>
          <w:rFonts w:eastAsiaTheme="minorEastAsia"/>
          <w:sz w:val="21"/>
          <w:szCs w:val="21"/>
        </w:rPr>
        <w:t xml:space="preserve"> wird als Zielvariable verwendet, welche die Alltagskompetenzen der Kinder in einer Einrichtung </w:t>
      </w:r>
      <m:oMath>
        <m:r>
          <w:rPr>
            <w:rFonts w:ascii="Cambria Math" w:eastAsiaTheme="minorEastAsia" w:hAnsi="Cambria Math"/>
            <w:sz w:val="21"/>
            <w:szCs w:val="21"/>
          </w:rPr>
          <m:t>i</m:t>
        </m:r>
      </m:oMath>
      <w:r w:rsidR="00C83C42">
        <w:rPr>
          <w:rFonts w:eastAsiaTheme="minorEastAsia"/>
          <w:sz w:val="21"/>
          <w:szCs w:val="21"/>
        </w:rPr>
        <w:t xml:space="preserve"> im Jahr </w:t>
      </w:r>
      <m:oMath>
        <m:r>
          <w:rPr>
            <w:rFonts w:ascii="Cambria Math" w:eastAsiaTheme="minorEastAsia" w:hAnsi="Cambria Math"/>
            <w:sz w:val="21"/>
            <w:szCs w:val="21"/>
          </w:rPr>
          <m:t>t</m:t>
        </m:r>
      </m:oMath>
      <w:r w:rsidR="00C83C42">
        <w:rPr>
          <w:rFonts w:eastAsiaTheme="minorEastAsia"/>
          <w:sz w:val="21"/>
          <w:szCs w:val="21"/>
        </w:rPr>
        <w:t xml:space="preserve"> misst </w:t>
      </w:r>
      <w:r w:rsidR="006551E7">
        <w:rPr>
          <w:rFonts w:eastAsiaTheme="minorEastAsia"/>
          <w:sz w:val="21"/>
          <w:szCs w:val="21"/>
        </w:rPr>
        <w:t>(wird noch standardisiert)</w:t>
      </w:r>
    </w:p>
    <w:p w:rsidR="00C83C42" w:rsidRPr="00C83C42" w:rsidRDefault="00D91D1E" w:rsidP="00C83C42">
      <w:pPr>
        <w:pStyle w:val="Listenabsatz"/>
        <w:numPr>
          <w:ilvl w:val="0"/>
          <w:numId w:val="3"/>
        </w:numPr>
        <w:spacing w:line="276" w:lineRule="auto"/>
        <w:rPr>
          <w:sz w:val="21"/>
          <w:szCs w:val="21"/>
          <w:u w:val="single"/>
          <w:lang w:val="en-US"/>
        </w:rPr>
      </w:pP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Treat</m:t>
            </m:r>
            <m:r>
              <w:rPr>
                <w:rFonts w:ascii="Cambria Math" w:hAnsi="Cambria Math" w:cs="Calibri"/>
                <w:sz w:val="21"/>
                <w:szCs w:val="21"/>
              </w:rPr>
              <m:t>EF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it</m:t>
            </m:r>
          </m:sub>
        </m:sSub>
      </m:oMath>
      <w:r w:rsidR="00C83C42" w:rsidRPr="001A5C70">
        <w:rPr>
          <w:rFonts w:eastAsiaTheme="minorEastAsia"/>
          <w:sz w:val="21"/>
          <w:szCs w:val="21"/>
          <w:lang w:val="en-US"/>
        </w:rPr>
        <w:t xml:space="preserve"> stellt die Treatment-Variable dar (= variable of </w:t>
      </w:r>
      <w:r w:rsidR="00C83C42">
        <w:rPr>
          <w:rFonts w:eastAsiaTheme="minorEastAsia"/>
          <w:sz w:val="21"/>
          <w:szCs w:val="21"/>
          <w:lang w:val="en-US"/>
        </w:rPr>
        <w:t>interest)</w:t>
      </w:r>
    </w:p>
    <w:p w:rsidR="00C83C42" w:rsidRPr="00C83C42" w:rsidRDefault="00D91D1E" w:rsidP="00C83C42">
      <w:pPr>
        <w:pStyle w:val="Listenabsatz"/>
        <w:numPr>
          <w:ilvl w:val="0"/>
          <w:numId w:val="6"/>
        </w:numPr>
        <w:spacing w:line="276" w:lineRule="auto"/>
        <w:rPr>
          <w:sz w:val="21"/>
          <w:szCs w:val="21"/>
          <w:u w:val="single"/>
        </w:rPr>
      </w:pP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Treat</m:t>
            </m:r>
            <m:r>
              <w:rPr>
                <w:rFonts w:ascii="Cambria Math" w:hAnsi="Cambria Math" w:cs="Calibri"/>
                <w:sz w:val="21"/>
                <w:szCs w:val="21"/>
              </w:rPr>
              <m:t>EF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it</m:t>
            </m:r>
          </m:sub>
        </m:sSub>
        <m:r>
          <w:rPr>
            <w:rFonts w:ascii="Cambria Math" w:hAnsi="Cambria Math" w:cs="Calibri"/>
            <w:sz w:val="21"/>
            <w:szCs w:val="21"/>
          </w:rPr>
          <m:t>=1</m:t>
        </m:r>
      </m:oMath>
      <w:r w:rsidR="00C83C42">
        <w:rPr>
          <w:rFonts w:eastAsiaTheme="minorEastAsia"/>
          <w:sz w:val="21"/>
          <w:szCs w:val="21"/>
        </w:rPr>
        <w:t xml:space="preserve">, wenn Einrichtung </w:t>
      </w:r>
      <m:oMath>
        <m:r>
          <w:rPr>
            <w:rFonts w:ascii="Cambria Math" w:eastAsiaTheme="minorEastAsia" w:hAnsi="Cambria Math"/>
            <w:sz w:val="21"/>
            <w:szCs w:val="21"/>
          </w:rPr>
          <m:t>i</m:t>
        </m:r>
      </m:oMath>
      <w:r w:rsidR="00C83C42">
        <w:rPr>
          <w:rFonts w:eastAsiaTheme="minorEastAsia"/>
          <w:sz w:val="21"/>
          <w:szCs w:val="21"/>
        </w:rPr>
        <w:t xml:space="preserve"> im Jahr </w:t>
      </w:r>
      <m:oMath>
        <m:r>
          <w:rPr>
            <w:rFonts w:ascii="Cambria Math" w:eastAsiaTheme="minorEastAsia" w:hAnsi="Cambria Math"/>
            <w:sz w:val="21"/>
            <w:szCs w:val="21"/>
          </w:rPr>
          <m:t>t</m:t>
        </m:r>
      </m:oMath>
      <w:r w:rsidR="00C83C42">
        <w:rPr>
          <w:rFonts w:eastAsiaTheme="minorEastAsia"/>
          <w:sz w:val="21"/>
          <w:szCs w:val="21"/>
        </w:rPr>
        <w:t xml:space="preserve"> am Entdeckerfonds teilnimmt und sich somit in der Treatment-Gruppe befindet</w:t>
      </w:r>
    </w:p>
    <w:p w:rsidR="00C83C42" w:rsidRPr="00C83C42" w:rsidRDefault="00D91D1E" w:rsidP="00C83C42">
      <w:pPr>
        <w:pStyle w:val="Listenabsatz"/>
        <w:numPr>
          <w:ilvl w:val="0"/>
          <w:numId w:val="6"/>
        </w:numPr>
        <w:spacing w:line="276" w:lineRule="auto"/>
        <w:rPr>
          <w:sz w:val="21"/>
          <w:szCs w:val="21"/>
          <w:u w:val="single"/>
        </w:rPr>
      </w:pP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Treat</m:t>
            </m:r>
            <m:r>
              <w:rPr>
                <w:rFonts w:ascii="Cambria Math" w:hAnsi="Cambria Math" w:cs="Calibri"/>
                <w:sz w:val="21"/>
                <w:szCs w:val="21"/>
              </w:rPr>
              <m:t>EF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it</m:t>
            </m:r>
          </m:sub>
        </m:sSub>
        <m:r>
          <w:rPr>
            <w:rFonts w:ascii="Cambria Math" w:hAnsi="Cambria Math" w:cs="Calibri"/>
            <w:sz w:val="21"/>
            <w:szCs w:val="21"/>
          </w:rPr>
          <m:t>=0</m:t>
        </m:r>
      </m:oMath>
      <w:r w:rsidR="00C83C42">
        <w:rPr>
          <w:rFonts w:eastAsiaTheme="minorEastAsia"/>
          <w:sz w:val="21"/>
          <w:szCs w:val="21"/>
        </w:rPr>
        <w:t xml:space="preserve">, wenn Einrichtung </w:t>
      </w:r>
      <m:oMath>
        <m:r>
          <w:rPr>
            <w:rFonts w:ascii="Cambria Math" w:eastAsiaTheme="minorEastAsia" w:hAnsi="Cambria Math"/>
            <w:sz w:val="21"/>
            <w:szCs w:val="21"/>
          </w:rPr>
          <m:t>i</m:t>
        </m:r>
      </m:oMath>
      <w:r w:rsidR="00C83C42">
        <w:rPr>
          <w:rFonts w:eastAsiaTheme="minorEastAsia"/>
          <w:sz w:val="21"/>
          <w:szCs w:val="21"/>
        </w:rPr>
        <w:t xml:space="preserve"> im Jahr </w:t>
      </w:r>
      <m:oMath>
        <m:r>
          <w:rPr>
            <w:rFonts w:ascii="Cambria Math" w:eastAsiaTheme="minorEastAsia" w:hAnsi="Cambria Math"/>
            <w:sz w:val="21"/>
            <w:szCs w:val="21"/>
          </w:rPr>
          <m:t>t</m:t>
        </m:r>
      </m:oMath>
      <w:r w:rsidR="00C83C42">
        <w:rPr>
          <w:rFonts w:eastAsiaTheme="minorEastAsia"/>
          <w:sz w:val="21"/>
          <w:szCs w:val="21"/>
        </w:rPr>
        <w:t xml:space="preserve"> </w:t>
      </w:r>
      <w:r w:rsidR="00C83C42" w:rsidRPr="00C83C42">
        <w:rPr>
          <w:rFonts w:eastAsiaTheme="minorEastAsia"/>
          <w:sz w:val="21"/>
          <w:szCs w:val="21"/>
          <w:u w:val="single"/>
        </w:rPr>
        <w:t>nicht</w:t>
      </w:r>
      <w:r w:rsidR="00C83C42">
        <w:rPr>
          <w:rFonts w:eastAsiaTheme="minorEastAsia"/>
          <w:sz w:val="21"/>
          <w:szCs w:val="21"/>
        </w:rPr>
        <w:t xml:space="preserve"> am Entdeckerfonds teilnimmt und sich somit im in der Kontrollgruppe befindet</w:t>
      </w:r>
    </w:p>
    <w:p w:rsidR="00C83C42" w:rsidRDefault="00C83C42" w:rsidP="00C83C42">
      <w:pPr>
        <w:spacing w:line="276" w:lineRule="auto"/>
        <w:contextualSpacing/>
        <w:rPr>
          <w:sz w:val="21"/>
          <w:szCs w:val="21"/>
          <w:u w:val="single"/>
        </w:rPr>
      </w:pPr>
    </w:p>
    <w:p w:rsidR="00C83C42" w:rsidRDefault="00C83C42" w:rsidP="00C83C42">
      <w:pPr>
        <w:spacing w:line="276" w:lineRule="auto"/>
        <w:contextualSpacing/>
        <w:rPr>
          <w:sz w:val="21"/>
          <w:szCs w:val="21"/>
        </w:rPr>
      </w:pPr>
      <w:r>
        <w:rPr>
          <w:sz w:val="21"/>
          <w:szCs w:val="21"/>
        </w:rPr>
        <w:t>Beispielhafter Datensatz: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</w:tblGrid>
      <w:tr w:rsidR="00C83C42" w:rsidTr="00C83C42">
        <w:tc>
          <w:tcPr>
            <w:tcW w:w="1811" w:type="dxa"/>
          </w:tcPr>
          <w:p w:rsidR="00C83C42" w:rsidRPr="003F5457" w:rsidRDefault="00C83C42" w:rsidP="00C83C42">
            <w:pPr>
              <w:spacing w:line="276" w:lineRule="auto"/>
              <w:contextualSpacing/>
              <w:rPr>
                <w:b/>
                <w:bCs/>
                <w:sz w:val="21"/>
                <w:szCs w:val="21"/>
              </w:rPr>
            </w:pPr>
            <w:r w:rsidRPr="003F5457">
              <w:rPr>
                <w:b/>
                <w:bCs/>
                <w:sz w:val="21"/>
                <w:szCs w:val="21"/>
              </w:rPr>
              <w:t>ID</w:t>
            </w:r>
          </w:p>
        </w:tc>
        <w:tc>
          <w:tcPr>
            <w:tcW w:w="1811" w:type="dxa"/>
          </w:tcPr>
          <w:p w:rsidR="00C83C42" w:rsidRPr="003F5457" w:rsidRDefault="00C83C42" w:rsidP="00C83C42">
            <w:pPr>
              <w:spacing w:line="276" w:lineRule="auto"/>
              <w:contextualSpacing/>
              <w:rPr>
                <w:b/>
                <w:bCs/>
                <w:sz w:val="21"/>
                <w:szCs w:val="21"/>
              </w:rPr>
            </w:pPr>
            <w:r w:rsidRPr="003F5457">
              <w:rPr>
                <w:b/>
                <w:bCs/>
                <w:sz w:val="21"/>
                <w:szCs w:val="21"/>
              </w:rPr>
              <w:t>Jahr</w:t>
            </w:r>
          </w:p>
        </w:tc>
        <w:tc>
          <w:tcPr>
            <w:tcW w:w="1811" w:type="dxa"/>
          </w:tcPr>
          <w:p w:rsidR="00C83C42" w:rsidRPr="003F5457" w:rsidRDefault="00C83C42" w:rsidP="00C83C42">
            <w:pPr>
              <w:spacing w:line="276" w:lineRule="auto"/>
              <w:contextualSpacing/>
              <w:rPr>
                <w:b/>
                <w:bCs/>
                <w:sz w:val="21"/>
                <w:szCs w:val="21"/>
              </w:rPr>
            </w:pPr>
            <w:r w:rsidRPr="003F5457">
              <w:rPr>
                <w:b/>
                <w:bCs/>
                <w:sz w:val="21"/>
                <w:szCs w:val="21"/>
              </w:rPr>
              <w:t>Treat</w:t>
            </w:r>
          </w:p>
        </w:tc>
      </w:tr>
      <w:tr w:rsidR="00C83C42" w:rsidTr="00C83C42">
        <w:tc>
          <w:tcPr>
            <w:tcW w:w="1811" w:type="dxa"/>
          </w:tcPr>
          <w:p w:rsidR="00C83C42" w:rsidRDefault="00C83C42" w:rsidP="00C83C42">
            <w:pPr>
              <w:spacing w:line="276" w:lineRule="auto"/>
              <w:contextualSpacing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103</w:t>
            </w:r>
          </w:p>
        </w:tc>
        <w:tc>
          <w:tcPr>
            <w:tcW w:w="1811" w:type="dxa"/>
          </w:tcPr>
          <w:p w:rsidR="00C83C42" w:rsidRDefault="00C83C42" w:rsidP="00C83C42">
            <w:pPr>
              <w:spacing w:line="276" w:lineRule="auto"/>
              <w:contextualSpacing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2011</w:t>
            </w:r>
          </w:p>
        </w:tc>
        <w:tc>
          <w:tcPr>
            <w:tcW w:w="1811" w:type="dxa"/>
          </w:tcPr>
          <w:p w:rsidR="00C83C42" w:rsidRDefault="00C83C42" w:rsidP="00C83C42">
            <w:pPr>
              <w:spacing w:line="276" w:lineRule="auto"/>
              <w:contextualSpacing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C83C42" w:rsidTr="00C83C42">
        <w:tc>
          <w:tcPr>
            <w:tcW w:w="1811" w:type="dxa"/>
          </w:tcPr>
          <w:p w:rsidR="00C83C42" w:rsidRDefault="00C83C42" w:rsidP="00C83C42">
            <w:pPr>
              <w:spacing w:line="276" w:lineRule="auto"/>
              <w:contextualSpacing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103</w:t>
            </w:r>
          </w:p>
        </w:tc>
        <w:tc>
          <w:tcPr>
            <w:tcW w:w="1811" w:type="dxa"/>
          </w:tcPr>
          <w:p w:rsidR="00C83C42" w:rsidRDefault="00C83C42" w:rsidP="00C83C42">
            <w:pPr>
              <w:spacing w:line="276" w:lineRule="auto"/>
              <w:contextualSpacing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2012</w:t>
            </w:r>
          </w:p>
        </w:tc>
        <w:tc>
          <w:tcPr>
            <w:tcW w:w="1811" w:type="dxa"/>
          </w:tcPr>
          <w:p w:rsidR="00C83C42" w:rsidRDefault="00C83C42" w:rsidP="00C83C42">
            <w:pPr>
              <w:spacing w:line="276" w:lineRule="auto"/>
              <w:contextualSpacing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C83C42" w:rsidTr="00C83C42">
        <w:tc>
          <w:tcPr>
            <w:tcW w:w="1811" w:type="dxa"/>
          </w:tcPr>
          <w:p w:rsidR="00C83C42" w:rsidRDefault="00C83C42" w:rsidP="00C83C42">
            <w:pPr>
              <w:spacing w:line="276" w:lineRule="auto"/>
              <w:contextualSpacing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103</w:t>
            </w:r>
          </w:p>
        </w:tc>
        <w:tc>
          <w:tcPr>
            <w:tcW w:w="1811" w:type="dxa"/>
          </w:tcPr>
          <w:p w:rsidR="00C83C42" w:rsidRDefault="00C83C42" w:rsidP="00C83C42">
            <w:pPr>
              <w:spacing w:line="276" w:lineRule="auto"/>
              <w:contextualSpacing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2013</w:t>
            </w:r>
          </w:p>
        </w:tc>
        <w:tc>
          <w:tcPr>
            <w:tcW w:w="1811" w:type="dxa"/>
          </w:tcPr>
          <w:p w:rsidR="00C83C42" w:rsidRDefault="00C83C42" w:rsidP="00C83C42">
            <w:pPr>
              <w:spacing w:line="276" w:lineRule="auto"/>
              <w:contextualSpacing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C83C42" w:rsidTr="00C83C42">
        <w:tc>
          <w:tcPr>
            <w:tcW w:w="1811" w:type="dxa"/>
          </w:tcPr>
          <w:p w:rsidR="00C83C42" w:rsidRDefault="00C83C42" w:rsidP="00C83C42">
            <w:pPr>
              <w:spacing w:line="276" w:lineRule="auto"/>
              <w:contextualSpacing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200</w:t>
            </w:r>
          </w:p>
        </w:tc>
        <w:tc>
          <w:tcPr>
            <w:tcW w:w="1811" w:type="dxa"/>
          </w:tcPr>
          <w:p w:rsidR="00C83C42" w:rsidRDefault="00C83C42" w:rsidP="00C83C42">
            <w:pPr>
              <w:spacing w:line="276" w:lineRule="auto"/>
              <w:contextualSpacing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2014</w:t>
            </w:r>
          </w:p>
        </w:tc>
        <w:tc>
          <w:tcPr>
            <w:tcW w:w="1811" w:type="dxa"/>
          </w:tcPr>
          <w:p w:rsidR="00C83C42" w:rsidRDefault="00C83C42" w:rsidP="00C83C42">
            <w:pPr>
              <w:spacing w:line="276" w:lineRule="auto"/>
              <w:contextualSpacing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C83C42" w:rsidTr="00C83C42">
        <w:tc>
          <w:tcPr>
            <w:tcW w:w="1811" w:type="dxa"/>
          </w:tcPr>
          <w:p w:rsidR="00C83C42" w:rsidRDefault="00C83C42" w:rsidP="00C83C42">
            <w:pPr>
              <w:spacing w:line="276" w:lineRule="auto"/>
              <w:contextualSpacing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200</w:t>
            </w:r>
          </w:p>
        </w:tc>
        <w:tc>
          <w:tcPr>
            <w:tcW w:w="1811" w:type="dxa"/>
          </w:tcPr>
          <w:p w:rsidR="00C83C42" w:rsidRDefault="00C83C42" w:rsidP="00C83C42">
            <w:pPr>
              <w:spacing w:line="276" w:lineRule="auto"/>
              <w:contextualSpacing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2015</w:t>
            </w:r>
          </w:p>
        </w:tc>
        <w:tc>
          <w:tcPr>
            <w:tcW w:w="1811" w:type="dxa"/>
          </w:tcPr>
          <w:p w:rsidR="00C83C42" w:rsidRDefault="00C83C42" w:rsidP="00C83C42">
            <w:pPr>
              <w:spacing w:line="276" w:lineRule="auto"/>
              <w:contextualSpacing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C83C42" w:rsidTr="00C83C42">
        <w:tc>
          <w:tcPr>
            <w:tcW w:w="1811" w:type="dxa"/>
          </w:tcPr>
          <w:p w:rsidR="00C83C42" w:rsidRDefault="00C83C42" w:rsidP="00C83C42">
            <w:pPr>
              <w:spacing w:line="276" w:lineRule="auto"/>
              <w:contextualSpacing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200</w:t>
            </w:r>
          </w:p>
        </w:tc>
        <w:tc>
          <w:tcPr>
            <w:tcW w:w="1811" w:type="dxa"/>
          </w:tcPr>
          <w:p w:rsidR="00C83C42" w:rsidRDefault="00C83C42" w:rsidP="00C83C42">
            <w:pPr>
              <w:spacing w:line="276" w:lineRule="auto"/>
              <w:contextualSpacing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2016</w:t>
            </w:r>
          </w:p>
        </w:tc>
        <w:tc>
          <w:tcPr>
            <w:tcW w:w="1811" w:type="dxa"/>
          </w:tcPr>
          <w:p w:rsidR="00C83C42" w:rsidRDefault="00C83C42" w:rsidP="00C83C42">
            <w:pPr>
              <w:spacing w:line="276" w:lineRule="auto"/>
              <w:contextualSpacing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C83C42" w:rsidTr="00C83C42">
        <w:tc>
          <w:tcPr>
            <w:tcW w:w="1811" w:type="dxa"/>
          </w:tcPr>
          <w:p w:rsidR="00C83C42" w:rsidRDefault="00C83C42" w:rsidP="00C83C42">
            <w:pPr>
              <w:spacing w:line="276" w:lineRule="auto"/>
              <w:contextualSpacing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200</w:t>
            </w:r>
          </w:p>
        </w:tc>
        <w:tc>
          <w:tcPr>
            <w:tcW w:w="1811" w:type="dxa"/>
          </w:tcPr>
          <w:p w:rsidR="00C83C42" w:rsidRDefault="00C83C42" w:rsidP="00C83C42">
            <w:pPr>
              <w:spacing w:line="276" w:lineRule="auto"/>
              <w:contextualSpacing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2017</w:t>
            </w:r>
          </w:p>
        </w:tc>
        <w:tc>
          <w:tcPr>
            <w:tcW w:w="1811" w:type="dxa"/>
          </w:tcPr>
          <w:p w:rsidR="00C83C42" w:rsidRDefault="00C83C42" w:rsidP="00C83C42">
            <w:pPr>
              <w:spacing w:line="276" w:lineRule="auto"/>
              <w:contextualSpacing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</w:tbl>
    <w:p w:rsidR="00C83C42" w:rsidRDefault="00C83C42" w:rsidP="00C83C42">
      <w:pPr>
        <w:spacing w:line="276" w:lineRule="auto"/>
        <w:contextualSpacing/>
        <w:rPr>
          <w:sz w:val="21"/>
          <w:szCs w:val="21"/>
        </w:rPr>
      </w:pPr>
    </w:p>
    <w:p w:rsidR="00C83C42" w:rsidRPr="003F5457" w:rsidRDefault="00C83C42" w:rsidP="00C83C42">
      <w:pPr>
        <w:pStyle w:val="Listenabsatz"/>
        <w:numPr>
          <w:ilvl w:val="0"/>
          <w:numId w:val="3"/>
        </w:numPr>
        <w:spacing w:line="276" w:lineRule="auto"/>
        <w:rPr>
          <w:sz w:val="21"/>
          <w:szCs w:val="21"/>
        </w:rPr>
      </w:pPr>
      <w:r>
        <w:rPr>
          <w:sz w:val="21"/>
          <w:szCs w:val="21"/>
        </w:rPr>
        <w:t>Die Einrichtung mit der I</w:t>
      </w:r>
      <w:r w:rsidR="003F5457">
        <w:rPr>
          <w:sz w:val="21"/>
          <w:szCs w:val="21"/>
        </w:rPr>
        <w:t>D = 103 nimmt im Jahr 2011 nicht am Entdeckerfonds teil und befindet sich somit im Jahr 2011 in der Kontrollgruppe (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Treat</m:t>
            </m:r>
            <m:r>
              <w:rPr>
                <w:rFonts w:ascii="Cambria Math" w:hAnsi="Cambria Math" w:cs="Calibri"/>
                <w:sz w:val="21"/>
                <w:szCs w:val="21"/>
              </w:rPr>
              <m:t>EF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it</m:t>
            </m:r>
          </m:sub>
        </m:sSub>
        <m:r>
          <w:rPr>
            <w:rFonts w:ascii="Cambria Math" w:hAnsi="Cambria Math" w:cs="Calibri"/>
            <w:sz w:val="21"/>
            <w:szCs w:val="21"/>
          </w:rPr>
          <m:t>=0</m:t>
        </m:r>
      </m:oMath>
      <w:r w:rsidR="003F5457">
        <w:rPr>
          <w:rFonts w:eastAsiaTheme="minorEastAsia"/>
          <w:sz w:val="21"/>
          <w:szCs w:val="21"/>
        </w:rPr>
        <w:t>)</w:t>
      </w:r>
    </w:p>
    <w:p w:rsidR="003F5457" w:rsidRPr="003F5457" w:rsidRDefault="003F5457" w:rsidP="00C83C42">
      <w:pPr>
        <w:pStyle w:val="Listenabsatz"/>
        <w:numPr>
          <w:ilvl w:val="0"/>
          <w:numId w:val="3"/>
        </w:numPr>
        <w:spacing w:line="276" w:lineRule="auto"/>
        <w:rPr>
          <w:sz w:val="21"/>
          <w:szCs w:val="21"/>
        </w:rPr>
      </w:pPr>
      <w:r>
        <w:rPr>
          <w:rFonts w:eastAsiaTheme="minorEastAsia"/>
          <w:sz w:val="21"/>
          <w:szCs w:val="21"/>
        </w:rPr>
        <w:t>In den darauffolgenden beiden Jahren 2012 und 2013 nimmt die Einrichtung mit der ID = 103 am Entdeckerfonds teil und ist somit für beide Jahre in der Treatmentgruppe (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Treat</m:t>
            </m:r>
            <m:r>
              <w:rPr>
                <w:rFonts w:ascii="Cambria Math" w:hAnsi="Cambria Math" w:cs="Calibri"/>
                <w:sz w:val="21"/>
                <w:szCs w:val="21"/>
              </w:rPr>
              <m:t>EF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it</m:t>
            </m:r>
          </m:sub>
        </m:sSub>
        <m:r>
          <w:rPr>
            <w:rFonts w:ascii="Cambria Math" w:hAnsi="Cambria Math" w:cs="Calibri"/>
            <w:sz w:val="21"/>
            <w:szCs w:val="21"/>
          </w:rPr>
          <m:t>=1</m:t>
        </m:r>
      </m:oMath>
      <w:r>
        <w:rPr>
          <w:rFonts w:eastAsiaTheme="minorEastAsia"/>
          <w:sz w:val="21"/>
          <w:szCs w:val="21"/>
        </w:rPr>
        <w:t>)</w:t>
      </w:r>
    </w:p>
    <w:p w:rsidR="003F5457" w:rsidRPr="003F5457" w:rsidRDefault="003F5457" w:rsidP="00C83C42">
      <w:pPr>
        <w:pStyle w:val="Listenabsatz"/>
        <w:numPr>
          <w:ilvl w:val="0"/>
          <w:numId w:val="3"/>
        </w:numPr>
        <w:spacing w:line="276" w:lineRule="auto"/>
        <w:rPr>
          <w:sz w:val="21"/>
          <w:szCs w:val="21"/>
        </w:rPr>
      </w:pPr>
      <w:r>
        <w:rPr>
          <w:sz w:val="21"/>
          <w:szCs w:val="21"/>
        </w:rPr>
        <w:t>Die Einrichtung mit der ID = 200 nimmt in den ersten beiden Jahren 2014 und 2015 nicht am Entdeckerfonds teil und befindet sich somit für diesen beiden Jahre in der Kontrollgruppe (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Treat</m:t>
            </m:r>
            <m:r>
              <w:rPr>
                <w:rFonts w:ascii="Cambria Math" w:hAnsi="Cambria Math" w:cs="Calibri"/>
                <w:sz w:val="21"/>
                <w:szCs w:val="21"/>
              </w:rPr>
              <m:t>EF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it</m:t>
            </m:r>
          </m:sub>
        </m:sSub>
        <m:r>
          <w:rPr>
            <w:rFonts w:ascii="Cambria Math" w:hAnsi="Cambria Math" w:cs="Calibri"/>
            <w:sz w:val="21"/>
            <w:szCs w:val="21"/>
          </w:rPr>
          <m:t>=0</m:t>
        </m:r>
      </m:oMath>
      <w:r>
        <w:rPr>
          <w:rFonts w:eastAsiaTheme="minorEastAsia"/>
          <w:sz w:val="21"/>
          <w:szCs w:val="21"/>
        </w:rPr>
        <w:t>)</w:t>
      </w:r>
    </w:p>
    <w:p w:rsidR="003F5457" w:rsidRPr="00C83C42" w:rsidRDefault="003F5457" w:rsidP="00C83C42">
      <w:pPr>
        <w:pStyle w:val="Listenabsatz"/>
        <w:numPr>
          <w:ilvl w:val="0"/>
          <w:numId w:val="3"/>
        </w:numPr>
        <w:spacing w:line="276" w:lineRule="auto"/>
        <w:rPr>
          <w:sz w:val="21"/>
          <w:szCs w:val="21"/>
        </w:rPr>
      </w:pPr>
      <w:r>
        <w:rPr>
          <w:rFonts w:eastAsiaTheme="minorEastAsia"/>
          <w:sz w:val="21"/>
          <w:szCs w:val="21"/>
        </w:rPr>
        <w:t>Ab dem Jahr 2016 nimmt die Einrichtung mit der ID = 200 am Entdeckerfonds teil und</w:t>
      </w:r>
      <w:r w:rsidR="00513B82">
        <w:rPr>
          <w:rFonts w:eastAsiaTheme="minorEastAsia"/>
          <w:sz w:val="21"/>
          <w:szCs w:val="21"/>
        </w:rPr>
        <w:t xml:space="preserve"> ist</w:t>
      </w:r>
      <w:r>
        <w:rPr>
          <w:rFonts w:eastAsiaTheme="minorEastAsia"/>
          <w:sz w:val="21"/>
          <w:szCs w:val="21"/>
        </w:rPr>
        <w:t xml:space="preserve"> ab diesem Jahr in der Treatmentgruppe (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Treat</m:t>
            </m:r>
            <m:r>
              <w:rPr>
                <w:rFonts w:ascii="Cambria Math" w:hAnsi="Cambria Math" w:cs="Calibri"/>
                <w:sz w:val="21"/>
                <w:szCs w:val="21"/>
              </w:rPr>
              <m:t>EF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it</m:t>
            </m:r>
          </m:sub>
        </m:sSub>
        <m:r>
          <w:rPr>
            <w:rFonts w:ascii="Cambria Math" w:hAnsi="Cambria Math" w:cs="Calibri"/>
            <w:sz w:val="21"/>
            <w:szCs w:val="21"/>
          </w:rPr>
          <m:t>=1</m:t>
        </m:r>
      </m:oMath>
      <w:r>
        <w:rPr>
          <w:rFonts w:eastAsiaTheme="minorEastAsia"/>
          <w:sz w:val="21"/>
          <w:szCs w:val="21"/>
        </w:rPr>
        <w:t>)</w:t>
      </w:r>
    </w:p>
    <w:p w:rsidR="00C83C42" w:rsidRPr="00C83C42" w:rsidRDefault="00C83C42" w:rsidP="00C83C42">
      <w:pPr>
        <w:spacing w:line="276" w:lineRule="auto"/>
        <w:contextualSpacing/>
        <w:rPr>
          <w:sz w:val="21"/>
          <w:szCs w:val="21"/>
          <w:u w:val="single"/>
        </w:rPr>
      </w:pPr>
    </w:p>
    <w:p w:rsidR="003F5457" w:rsidRDefault="003F5457" w:rsidP="003F5457">
      <w:pPr>
        <w:spacing w:line="276" w:lineRule="auto"/>
        <w:contextualSpacing/>
        <w:rPr>
          <w:sz w:val="21"/>
          <w:szCs w:val="21"/>
        </w:rPr>
      </w:pPr>
      <w:r>
        <w:rPr>
          <w:sz w:val="21"/>
          <w:szCs w:val="21"/>
          <w:u w:val="single"/>
        </w:rPr>
        <w:t>1. Variante:</w:t>
      </w:r>
      <w:r w:rsidR="00C43DAB">
        <w:rPr>
          <w:sz w:val="21"/>
          <w:szCs w:val="21"/>
          <w:u w:val="single"/>
        </w:rPr>
        <w:t xml:space="preserve"> DiD-Estimation</w:t>
      </w:r>
    </w:p>
    <w:p w:rsidR="003F5457" w:rsidRPr="003F5457" w:rsidRDefault="00D91D1E" w:rsidP="003F5457">
      <w:pPr>
        <w:pStyle w:val="Listenabsatz"/>
        <w:spacing w:line="276" w:lineRule="auto"/>
        <w:rPr>
          <w:rFonts w:eastAsiaTheme="minorEastAsia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</w:rPr>
                <m:t>dayToDaySkills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en-GB"/>
            </w:rPr>
            <m:t>=</m:t>
          </m:r>
          <m:r>
            <w:rPr>
              <w:rFonts w:ascii="Cambria Math" w:hAnsi="Cambria Math" w:cs="Calibri"/>
              <w:sz w:val="21"/>
              <w:szCs w:val="21"/>
            </w:rPr>
            <m:t>α</m:t>
          </m:r>
          <m:r>
            <w:rPr>
              <w:rFonts w:ascii="Cambria Math" w:hAnsi="Cambria Math" w:cs="Calibri"/>
              <w:sz w:val="21"/>
              <w:szCs w:val="21"/>
              <w:lang w:val="en-GB"/>
            </w:rPr>
            <m:t>+</m:t>
          </m:r>
          <m:r>
            <m:rPr>
              <m:sty m:val="bi"/>
            </m:rPr>
            <w:rPr>
              <w:rFonts w:ascii="Cambria Math" w:hAnsi="Cambria Math" w:cs="Calibri"/>
              <w:sz w:val="21"/>
              <w:szCs w:val="21"/>
            </w:rPr>
            <m:t>β</m:t>
          </m:r>
          <m:r>
            <m:rPr>
              <m:sty m:val="bi"/>
            </m:rPr>
            <w:rPr>
              <w:rFonts w:ascii="Cambria Math" w:hAnsi="Cambria Math" w:cs="Calibri"/>
              <w:sz w:val="21"/>
              <w:szCs w:val="21"/>
              <w:lang w:val="en-GB"/>
            </w:rPr>
            <m:t>*</m:t>
          </m:r>
          <m:sSub>
            <m:sSubPr>
              <m:ctrlPr>
                <w:rPr>
                  <w:rFonts w:ascii="Cambria Math" w:hAnsi="Cambria Math" w:cs="Calibri"/>
                  <w:b/>
                  <w:bCs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  <w:sz w:val="21"/>
                  <w:szCs w:val="21"/>
                </w:rPr>
                <m:t>Treat</m:t>
              </m:r>
              <m:r>
                <m:rPr>
                  <m:sty m:val="bi"/>
                </m:rPr>
                <w:rPr>
                  <w:rFonts w:ascii="Cambria Math" w:hAnsi="Cambria Math" w:cs="Calibri"/>
                  <w:sz w:val="21"/>
                  <w:szCs w:val="21"/>
                </w:rPr>
                <m:t>EF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libri"/>
                  <w:sz w:val="21"/>
                  <w:szCs w:val="21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</w:rPr>
                <m:t>ε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</w:rPr>
                <m:t>it</m:t>
              </m:r>
            </m:sub>
          </m:sSub>
        </m:oMath>
      </m:oMathPara>
    </w:p>
    <w:p w:rsidR="003F5457" w:rsidRPr="001A5C70" w:rsidRDefault="00D91D1E" w:rsidP="003F5457">
      <w:pPr>
        <w:pStyle w:val="Listenabsatz"/>
        <w:numPr>
          <w:ilvl w:val="0"/>
          <w:numId w:val="3"/>
        </w:numPr>
        <w:spacing w:line="276" w:lineRule="auto"/>
        <w:rPr>
          <w:sz w:val="21"/>
          <w:szCs w:val="21"/>
          <w:u w:val="single"/>
        </w:rPr>
      </w:pP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dayToDaySkills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it</m:t>
            </m:r>
          </m:sub>
        </m:sSub>
      </m:oMath>
      <w:r w:rsidR="003F5457">
        <w:rPr>
          <w:rFonts w:eastAsiaTheme="minorEastAsia"/>
          <w:sz w:val="21"/>
          <w:szCs w:val="21"/>
        </w:rPr>
        <w:t xml:space="preserve"> wird als Zielvariable verwendet, welche die Alltagskompetenzen der Kinder in einer Einrichtung </w:t>
      </w:r>
      <m:oMath>
        <m:r>
          <w:rPr>
            <w:rFonts w:ascii="Cambria Math" w:eastAsiaTheme="minorEastAsia" w:hAnsi="Cambria Math"/>
            <w:sz w:val="21"/>
            <w:szCs w:val="21"/>
          </w:rPr>
          <m:t>i</m:t>
        </m:r>
      </m:oMath>
      <w:r w:rsidR="003F5457">
        <w:rPr>
          <w:rFonts w:eastAsiaTheme="minorEastAsia"/>
          <w:sz w:val="21"/>
          <w:szCs w:val="21"/>
        </w:rPr>
        <w:t xml:space="preserve"> im Jahr </w:t>
      </w:r>
      <m:oMath>
        <m:r>
          <w:rPr>
            <w:rFonts w:ascii="Cambria Math" w:eastAsiaTheme="minorEastAsia" w:hAnsi="Cambria Math"/>
            <w:sz w:val="21"/>
            <w:szCs w:val="21"/>
          </w:rPr>
          <m:t>t</m:t>
        </m:r>
      </m:oMath>
      <w:r w:rsidR="003F5457">
        <w:rPr>
          <w:rFonts w:eastAsiaTheme="minorEastAsia"/>
          <w:sz w:val="21"/>
          <w:szCs w:val="21"/>
        </w:rPr>
        <w:t xml:space="preserve"> misst </w:t>
      </w:r>
    </w:p>
    <w:p w:rsidR="003F5457" w:rsidRPr="003F5457" w:rsidRDefault="00D91D1E" w:rsidP="003F5457">
      <w:pPr>
        <w:pStyle w:val="Listenabsatz"/>
        <w:numPr>
          <w:ilvl w:val="0"/>
          <w:numId w:val="3"/>
        </w:numPr>
        <w:spacing w:line="276" w:lineRule="auto"/>
        <w:rPr>
          <w:sz w:val="21"/>
          <w:szCs w:val="21"/>
          <w:u w:val="single"/>
          <w:lang w:val="en-US"/>
        </w:rPr>
      </w:pP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Treat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it</m:t>
            </m:r>
          </m:sub>
        </m:sSub>
      </m:oMath>
      <w:r w:rsidR="003F5457" w:rsidRPr="001A5C70">
        <w:rPr>
          <w:rFonts w:eastAsiaTheme="minorEastAsia"/>
          <w:sz w:val="21"/>
          <w:szCs w:val="21"/>
          <w:lang w:val="en-US"/>
        </w:rPr>
        <w:t xml:space="preserve"> stellt die Treatment-Variable dar (= variable of </w:t>
      </w:r>
      <w:r w:rsidR="003F5457">
        <w:rPr>
          <w:rFonts w:eastAsiaTheme="minorEastAsia"/>
          <w:sz w:val="21"/>
          <w:szCs w:val="21"/>
          <w:lang w:val="en-US"/>
        </w:rPr>
        <w:t>interest)</w:t>
      </w:r>
    </w:p>
    <w:p w:rsidR="00C83C42" w:rsidRPr="00C83C42" w:rsidRDefault="00C83C42" w:rsidP="00C83C42">
      <w:pPr>
        <w:pStyle w:val="Listenabsatz"/>
        <w:numPr>
          <w:ilvl w:val="0"/>
          <w:numId w:val="3"/>
        </w:numPr>
        <w:spacing w:line="276" w:lineRule="auto"/>
        <w:rPr>
          <w:sz w:val="21"/>
          <w:szCs w:val="21"/>
          <w:u w:val="single"/>
        </w:rPr>
      </w:pPr>
      <w:r w:rsidRPr="00C83C42">
        <w:rPr>
          <w:sz w:val="21"/>
          <w:szCs w:val="21"/>
        </w:rPr>
        <w:t xml:space="preserve">Organization fixed effects / ID fixed effects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C83C42">
        <w:rPr>
          <w:rFonts w:eastAsiaTheme="minorEastAsia"/>
          <w:sz w:val="22"/>
          <w:szCs w:val="22"/>
        </w:rPr>
        <w:t xml:space="preserve"> kontrollieren für unbeobachtbare und beobachtbare Eigenschaften, die über die Zeit konstant sind und sich zwischen den </w:t>
      </w:r>
      <w:r>
        <w:rPr>
          <w:rFonts w:eastAsiaTheme="minorEastAsia"/>
          <w:sz w:val="22"/>
          <w:szCs w:val="22"/>
        </w:rPr>
        <w:t>Organisationen unterscheiden</w:t>
      </w:r>
    </w:p>
    <w:p w:rsidR="00622536" w:rsidRPr="00622536" w:rsidRDefault="00C83C42" w:rsidP="00622536">
      <w:pPr>
        <w:pStyle w:val="Listenabsatz"/>
        <w:numPr>
          <w:ilvl w:val="0"/>
          <w:numId w:val="3"/>
        </w:numPr>
        <w:spacing w:line="276" w:lineRule="auto"/>
        <w:rPr>
          <w:sz w:val="21"/>
          <w:szCs w:val="21"/>
          <w:u w:val="single"/>
        </w:rPr>
      </w:pPr>
      <w:r w:rsidRPr="00C83C42">
        <w:rPr>
          <w:rFonts w:eastAsiaTheme="minorEastAsia"/>
          <w:sz w:val="22"/>
          <w:szCs w:val="22"/>
        </w:rPr>
        <w:t xml:space="preserve">Year fixed effects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δ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t</m:t>
            </m:r>
          </m:sub>
        </m:sSub>
      </m:oMath>
      <w:r w:rsidRPr="00C83C42">
        <w:rPr>
          <w:rFonts w:eastAsiaTheme="minorEastAsia"/>
          <w:sz w:val="22"/>
          <w:szCs w:val="22"/>
        </w:rPr>
        <w:t xml:space="preserve"> kontrollieren für Variablen, die sich ü</w:t>
      </w:r>
      <w:r>
        <w:rPr>
          <w:rFonts w:eastAsiaTheme="minorEastAsia"/>
          <w:sz w:val="22"/>
          <w:szCs w:val="22"/>
        </w:rPr>
        <w:t>ber die Zeit verändern und für alle Organisationen gleich sin</w:t>
      </w:r>
      <w:r w:rsidR="003F5457">
        <w:rPr>
          <w:rFonts w:eastAsiaTheme="minorEastAsia"/>
          <w:sz w:val="22"/>
          <w:szCs w:val="22"/>
        </w:rPr>
        <w:t>d</w:t>
      </w:r>
    </w:p>
    <w:p w:rsidR="003F5457" w:rsidRPr="00622536" w:rsidRDefault="003F5457" w:rsidP="003F5457">
      <w:pPr>
        <w:pStyle w:val="Listenabsatz"/>
        <w:numPr>
          <w:ilvl w:val="0"/>
          <w:numId w:val="3"/>
        </w:numPr>
        <w:spacing w:line="276" w:lineRule="auto"/>
        <w:rPr>
          <w:b/>
          <w:bCs/>
          <w:sz w:val="21"/>
          <w:szCs w:val="21"/>
          <w:u w:val="single"/>
        </w:rPr>
      </w:pPr>
      <w:r w:rsidRPr="00622536">
        <w:rPr>
          <w:b/>
          <w:bCs/>
          <w:sz w:val="21"/>
          <w:szCs w:val="21"/>
        </w:rPr>
        <w:t>Die</w:t>
      </w:r>
      <w:r w:rsidR="00622536" w:rsidRPr="00622536">
        <w:rPr>
          <w:b/>
          <w:bCs/>
          <w:sz w:val="21"/>
          <w:szCs w:val="21"/>
        </w:rPr>
        <w:t>se</w:t>
      </w:r>
      <w:r w:rsidRPr="00622536">
        <w:rPr>
          <w:b/>
          <w:bCs/>
          <w:sz w:val="21"/>
          <w:szCs w:val="21"/>
        </w:rPr>
        <w:t xml:space="preserve"> Regressionsgleichung </w:t>
      </w:r>
      <w:r w:rsidR="00622536" w:rsidRPr="00622536">
        <w:rPr>
          <w:b/>
          <w:bCs/>
          <w:sz w:val="21"/>
          <w:szCs w:val="21"/>
        </w:rPr>
        <w:t>implementiert den allgemeinen Differences-in-Differences Estimator</w:t>
      </w:r>
    </w:p>
    <w:p w:rsidR="00622536" w:rsidRPr="00622536" w:rsidRDefault="00622536" w:rsidP="00622536">
      <w:pPr>
        <w:pStyle w:val="Listenabsatz"/>
        <w:numPr>
          <w:ilvl w:val="0"/>
          <w:numId w:val="6"/>
        </w:numPr>
        <w:spacing w:line="276" w:lineRule="auto"/>
        <w:rPr>
          <w:sz w:val="21"/>
          <w:szCs w:val="21"/>
          <w:u w:val="single"/>
        </w:rPr>
      </w:pPr>
      <w:r>
        <w:rPr>
          <w:sz w:val="21"/>
          <w:szCs w:val="21"/>
        </w:rPr>
        <w:t>Vergleiche: Mostly harmless econometrics, Seite 169 – 174</w:t>
      </w:r>
    </w:p>
    <w:p w:rsidR="00622536" w:rsidRDefault="00622536" w:rsidP="00622536">
      <w:pPr>
        <w:pStyle w:val="Listenabsatz"/>
        <w:spacing w:line="276" w:lineRule="auto"/>
        <w:rPr>
          <w:sz w:val="21"/>
          <w:szCs w:val="21"/>
          <w:u w:val="single"/>
        </w:rPr>
      </w:pPr>
      <w:r w:rsidRPr="00622536">
        <w:rPr>
          <w:noProof/>
          <w:sz w:val="21"/>
          <w:szCs w:val="2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813435</wp:posOffset>
            </wp:positionH>
            <wp:positionV relativeFrom="page">
              <wp:posOffset>9195598</wp:posOffset>
            </wp:positionV>
            <wp:extent cx="2380615" cy="391795"/>
            <wp:effectExtent l="12700" t="12700" r="6985" b="14605"/>
            <wp:wrapNone/>
            <wp:docPr id="2" name="Grafik 2" descr="Ein Bild, das Objek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D Estim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391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2536" w:rsidRDefault="00622536" w:rsidP="00622536">
      <w:pPr>
        <w:pStyle w:val="Listenabsatz"/>
        <w:spacing w:line="276" w:lineRule="auto"/>
        <w:rPr>
          <w:sz w:val="21"/>
          <w:szCs w:val="21"/>
          <w:u w:val="single"/>
        </w:rPr>
      </w:pPr>
    </w:p>
    <w:p w:rsidR="00622536" w:rsidRDefault="00622536" w:rsidP="00622536">
      <w:pPr>
        <w:pStyle w:val="Listenabsatz"/>
        <w:spacing w:line="276" w:lineRule="auto"/>
        <w:rPr>
          <w:sz w:val="21"/>
          <w:szCs w:val="21"/>
          <w:u w:val="single"/>
        </w:rPr>
      </w:pPr>
    </w:p>
    <w:p w:rsidR="00622536" w:rsidRPr="003F5457" w:rsidRDefault="00622536" w:rsidP="00622536">
      <w:pPr>
        <w:pStyle w:val="Listenabsatz"/>
        <w:spacing w:line="276" w:lineRule="auto"/>
        <w:rPr>
          <w:sz w:val="21"/>
          <w:szCs w:val="21"/>
          <w:u w:val="single"/>
        </w:rPr>
      </w:pPr>
    </w:p>
    <w:p w:rsidR="003F5457" w:rsidRPr="00622536" w:rsidRDefault="003F5457" w:rsidP="00C83C42">
      <w:pPr>
        <w:pStyle w:val="Listenabsatz"/>
        <w:numPr>
          <w:ilvl w:val="0"/>
          <w:numId w:val="3"/>
        </w:numPr>
        <w:spacing w:line="276" w:lineRule="auto"/>
        <w:rPr>
          <w:sz w:val="21"/>
          <w:szCs w:val="21"/>
          <w:u w:val="single"/>
        </w:rPr>
      </w:pPr>
      <w:r>
        <w:rPr>
          <w:rFonts w:eastAsiaTheme="minorEastAsia"/>
          <w:sz w:val="22"/>
          <w:szCs w:val="22"/>
        </w:rPr>
        <w:lastRenderedPageBreak/>
        <w:t xml:space="preserve">Der Regressionskoeffizient </w:t>
      </w:r>
      <m:oMath>
        <m:r>
          <w:rPr>
            <w:rFonts w:ascii="Cambria Math" w:eastAsiaTheme="minorEastAsia" w:hAnsi="Cambria Math"/>
            <w:sz w:val="22"/>
            <w:szCs w:val="22"/>
          </w:rPr>
          <m:t>β</m:t>
        </m:r>
      </m:oMath>
      <w:r>
        <w:rPr>
          <w:rFonts w:eastAsiaTheme="minorEastAsia"/>
          <w:sz w:val="22"/>
          <w:szCs w:val="22"/>
        </w:rPr>
        <w:t xml:space="preserve"> </w:t>
      </w:r>
      <w:r w:rsidR="00622536">
        <w:rPr>
          <w:rFonts w:eastAsiaTheme="minorEastAsia"/>
          <w:sz w:val="22"/>
          <w:szCs w:val="22"/>
        </w:rPr>
        <w:t xml:space="preserve">stellt den Differences-in-Differences-Estimator dar und misst </w:t>
      </w:r>
      <w:r>
        <w:rPr>
          <w:rFonts w:eastAsiaTheme="minorEastAsia"/>
          <w:sz w:val="22"/>
          <w:szCs w:val="22"/>
        </w:rPr>
        <w:t>den average treatment effect</w:t>
      </w:r>
    </w:p>
    <w:p w:rsidR="00C43DAB" w:rsidRPr="00037A0A" w:rsidRDefault="00513B82" w:rsidP="00622536">
      <w:pPr>
        <w:pStyle w:val="Listenabsatz"/>
        <w:numPr>
          <w:ilvl w:val="0"/>
          <w:numId w:val="3"/>
        </w:numPr>
        <w:spacing w:line="276" w:lineRule="auto"/>
        <w:rPr>
          <w:sz w:val="21"/>
          <w:szCs w:val="21"/>
          <w:u w:val="single"/>
        </w:rPr>
      </w:pPr>
      <w:r>
        <w:rPr>
          <w:rFonts w:eastAsiaTheme="minorEastAsia"/>
          <w:sz w:val="22"/>
          <w:szCs w:val="22"/>
        </w:rPr>
        <w:t>Im Vergleich zu einer</w:t>
      </w:r>
      <w:r w:rsidR="00622536">
        <w:rPr>
          <w:rFonts w:eastAsiaTheme="minorEastAsia"/>
          <w:sz w:val="22"/>
          <w:szCs w:val="22"/>
        </w:rPr>
        <w:t xml:space="preserve"> Standard DiD-Estimation</w:t>
      </w:r>
      <w:r>
        <w:rPr>
          <w:rFonts w:eastAsiaTheme="minorEastAsia"/>
          <w:sz w:val="22"/>
          <w:szCs w:val="22"/>
        </w:rPr>
        <w:t xml:space="preserve"> werden bei unserem DiD-Ansatz</w:t>
      </w:r>
      <w:r w:rsidR="00622536">
        <w:rPr>
          <w:rFonts w:eastAsiaTheme="minorEastAsia"/>
          <w:sz w:val="22"/>
          <w:szCs w:val="22"/>
        </w:rPr>
        <w:t xml:space="preserve"> </w:t>
      </w:r>
      <w:r w:rsidR="00C43DAB">
        <w:rPr>
          <w:rFonts w:eastAsiaTheme="minorEastAsia"/>
          <w:sz w:val="22"/>
          <w:szCs w:val="22"/>
        </w:rPr>
        <w:t>nicht nur zwei Perioden betrachtet, sondern mehrere Jahre (von t = 2011 bis t = 2018)</w:t>
      </w:r>
    </w:p>
    <w:p w:rsidR="00037A0A" w:rsidRDefault="007003FB" w:rsidP="00037A0A">
      <w:pPr>
        <w:spacing w:line="276" w:lineRule="auto"/>
        <w:rPr>
          <w:sz w:val="21"/>
          <w:szCs w:val="21"/>
          <w:u w:val="single"/>
        </w:rPr>
      </w:pPr>
      <w:r>
        <w:rPr>
          <w:noProof/>
          <w:sz w:val="21"/>
          <w:szCs w:val="21"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464185</wp:posOffset>
            </wp:positionH>
            <wp:positionV relativeFrom="page">
              <wp:posOffset>1740372</wp:posOffset>
            </wp:positionV>
            <wp:extent cx="3132455" cy="2540635"/>
            <wp:effectExtent l="12700" t="12700" r="17145" b="12065"/>
            <wp:wrapNone/>
            <wp:docPr id="3" name="Grafik 3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 Varian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2540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03FB" w:rsidRDefault="007003FB" w:rsidP="00037A0A">
      <w:pPr>
        <w:spacing w:line="276" w:lineRule="auto"/>
        <w:rPr>
          <w:sz w:val="21"/>
          <w:szCs w:val="21"/>
          <w:u w:val="single"/>
        </w:rPr>
      </w:pPr>
    </w:p>
    <w:p w:rsidR="007003FB" w:rsidRDefault="007003FB" w:rsidP="00037A0A">
      <w:pPr>
        <w:spacing w:line="276" w:lineRule="auto"/>
        <w:rPr>
          <w:sz w:val="21"/>
          <w:szCs w:val="21"/>
          <w:u w:val="single"/>
        </w:rPr>
      </w:pPr>
    </w:p>
    <w:p w:rsidR="007003FB" w:rsidRDefault="007003FB" w:rsidP="00037A0A">
      <w:pPr>
        <w:spacing w:line="276" w:lineRule="auto"/>
        <w:rPr>
          <w:sz w:val="21"/>
          <w:szCs w:val="21"/>
          <w:u w:val="single"/>
        </w:rPr>
      </w:pPr>
    </w:p>
    <w:p w:rsidR="007003FB" w:rsidRDefault="007003FB" w:rsidP="00037A0A">
      <w:pPr>
        <w:spacing w:line="276" w:lineRule="auto"/>
        <w:rPr>
          <w:sz w:val="21"/>
          <w:szCs w:val="21"/>
          <w:u w:val="single"/>
        </w:rPr>
      </w:pPr>
    </w:p>
    <w:p w:rsidR="007003FB" w:rsidRDefault="007003FB" w:rsidP="00037A0A">
      <w:pPr>
        <w:spacing w:line="276" w:lineRule="auto"/>
        <w:rPr>
          <w:sz w:val="21"/>
          <w:szCs w:val="21"/>
          <w:u w:val="single"/>
        </w:rPr>
      </w:pPr>
    </w:p>
    <w:p w:rsidR="007003FB" w:rsidRDefault="007003FB" w:rsidP="00037A0A">
      <w:pPr>
        <w:spacing w:line="276" w:lineRule="auto"/>
        <w:rPr>
          <w:sz w:val="21"/>
          <w:szCs w:val="21"/>
          <w:u w:val="single"/>
        </w:rPr>
      </w:pPr>
    </w:p>
    <w:p w:rsidR="007003FB" w:rsidRDefault="007003FB" w:rsidP="00037A0A">
      <w:pPr>
        <w:spacing w:line="276" w:lineRule="auto"/>
        <w:rPr>
          <w:sz w:val="21"/>
          <w:szCs w:val="21"/>
          <w:u w:val="single"/>
        </w:rPr>
      </w:pPr>
    </w:p>
    <w:p w:rsidR="007003FB" w:rsidRDefault="007003FB" w:rsidP="00037A0A">
      <w:pPr>
        <w:spacing w:line="276" w:lineRule="auto"/>
        <w:rPr>
          <w:sz w:val="21"/>
          <w:szCs w:val="21"/>
          <w:u w:val="single"/>
        </w:rPr>
      </w:pPr>
    </w:p>
    <w:p w:rsidR="007003FB" w:rsidRDefault="007003FB" w:rsidP="00037A0A">
      <w:pPr>
        <w:spacing w:line="276" w:lineRule="auto"/>
        <w:rPr>
          <w:sz w:val="21"/>
          <w:szCs w:val="21"/>
          <w:u w:val="single"/>
        </w:rPr>
      </w:pPr>
    </w:p>
    <w:p w:rsidR="007003FB" w:rsidRDefault="007003FB" w:rsidP="00037A0A">
      <w:pPr>
        <w:spacing w:line="276" w:lineRule="auto"/>
        <w:rPr>
          <w:sz w:val="21"/>
          <w:szCs w:val="21"/>
          <w:u w:val="single"/>
        </w:rPr>
      </w:pPr>
    </w:p>
    <w:p w:rsidR="007003FB" w:rsidRDefault="007003FB" w:rsidP="00037A0A">
      <w:pPr>
        <w:spacing w:line="276" w:lineRule="auto"/>
        <w:rPr>
          <w:sz w:val="21"/>
          <w:szCs w:val="21"/>
          <w:u w:val="single"/>
        </w:rPr>
      </w:pPr>
    </w:p>
    <w:p w:rsidR="007003FB" w:rsidRDefault="007003FB" w:rsidP="00037A0A">
      <w:pPr>
        <w:spacing w:line="276" w:lineRule="auto"/>
        <w:rPr>
          <w:sz w:val="21"/>
          <w:szCs w:val="21"/>
          <w:u w:val="single"/>
        </w:rPr>
      </w:pPr>
    </w:p>
    <w:p w:rsidR="007003FB" w:rsidRDefault="007003FB" w:rsidP="00037A0A">
      <w:pPr>
        <w:spacing w:line="276" w:lineRule="auto"/>
        <w:rPr>
          <w:sz w:val="21"/>
          <w:szCs w:val="21"/>
          <w:u w:val="single"/>
        </w:rPr>
      </w:pPr>
    </w:p>
    <w:p w:rsidR="00C43DAB" w:rsidRDefault="00C43DAB" w:rsidP="00C43DAB">
      <w:pPr>
        <w:spacing w:line="276" w:lineRule="auto"/>
        <w:rPr>
          <w:rFonts w:eastAsiaTheme="minorEastAsia"/>
          <w:sz w:val="22"/>
          <w:szCs w:val="22"/>
        </w:rPr>
      </w:pPr>
    </w:p>
    <w:p w:rsidR="00C43DAB" w:rsidRPr="00566749" w:rsidRDefault="00C43DAB" w:rsidP="00566749">
      <w:pPr>
        <w:spacing w:line="276" w:lineRule="auto"/>
        <w:rPr>
          <w:rFonts w:eastAsiaTheme="minorEastAsia"/>
          <w:sz w:val="22"/>
          <w:szCs w:val="22"/>
          <w:u w:val="single"/>
        </w:rPr>
      </w:pPr>
      <w:r w:rsidRPr="00C43DAB">
        <w:rPr>
          <w:rFonts w:eastAsiaTheme="minorEastAsia"/>
          <w:sz w:val="22"/>
          <w:szCs w:val="22"/>
          <w:u w:val="single"/>
        </w:rPr>
        <w:t>2. Variante: DiD-Estimation with year-specific treatment effects</w:t>
      </w:r>
    </w:p>
    <w:p w:rsidR="00566749" w:rsidRPr="00566749" w:rsidRDefault="00C43DAB" w:rsidP="00566749">
      <w:pPr>
        <w:pStyle w:val="Listenabsatz"/>
        <w:spacing w:line="360" w:lineRule="auto"/>
        <w:rPr>
          <w:rFonts w:eastAsiaTheme="minorEastAsia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</w:rPr>
                <m:t>dayToDaySkills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en-GB"/>
            </w:rPr>
            <m:t>=</m:t>
          </m:r>
          <m:r>
            <w:rPr>
              <w:rFonts w:ascii="Cambria Math" w:hAnsi="Cambria Math" w:cs="Calibri"/>
              <w:sz w:val="21"/>
              <w:szCs w:val="21"/>
            </w:rPr>
            <m:t>α</m:t>
          </m:r>
          <m:r>
            <w:rPr>
              <w:rFonts w:ascii="Cambria Math" w:hAnsi="Cambria Math" w:cs="Calibri"/>
              <w:sz w:val="21"/>
              <w:szCs w:val="21"/>
              <w:lang w:val="en-GB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  <w:sz w:val="21"/>
                  <w:szCs w:val="21"/>
                  <w:lang w:val="en-GB"/>
                </w:rPr>
              </m:ctrlPr>
            </m:naryPr>
            <m:sub>
              <m:r>
                <w:rPr>
                  <w:rFonts w:ascii="Cambria Math" w:hAnsi="Cambria Math" w:cs="Calibri"/>
                  <w:sz w:val="21"/>
                  <w:szCs w:val="21"/>
                  <w:lang w:val="en-GB"/>
                </w:rPr>
                <m:t>k=201</m:t>
              </m:r>
              <m:r>
                <w:rPr>
                  <w:rFonts w:ascii="Cambria Math" w:hAnsi="Cambria Math" w:cs="Calibri"/>
                  <w:sz w:val="21"/>
                  <w:szCs w:val="21"/>
                  <w:lang w:val="en-GB"/>
                </w:rPr>
                <m:t>2</m:t>
              </m:r>
            </m:sub>
            <m:sup>
              <m:r>
                <w:rPr>
                  <w:rFonts w:ascii="Cambria Math" w:hAnsi="Cambria Math" w:cs="Calibri"/>
                  <w:sz w:val="21"/>
                  <w:szCs w:val="21"/>
                  <w:lang w:val="en-GB"/>
                </w:rPr>
                <m:t>k=2018</m:t>
              </m:r>
            </m:sup>
            <m:e>
              <m:sSub>
                <m:sSubPr>
                  <m:ctrlPr>
                    <w:rPr>
                      <w:rFonts w:ascii="Cambria Math" w:hAnsi="Cambria Math" w:cs="Calibri"/>
                      <w:b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1"/>
                      <w:szCs w:val="21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1"/>
                      <w:szCs w:val="21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Calibri"/>
                  <w:sz w:val="21"/>
                  <w:szCs w:val="21"/>
                  <w:lang w:val="en-GB"/>
                </w:rPr>
                <m:t>*</m:t>
              </m:r>
              <m:sSub>
                <m:sSubPr>
                  <m:ctrlPr>
                    <w:rPr>
                      <w:rFonts w:ascii="Cambria Math" w:hAnsi="Cambria Math" w:cs="Calibri"/>
                      <w:b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1"/>
                      <w:szCs w:val="21"/>
                    </w:rPr>
                    <m:t>TreatEF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1"/>
                      <w:szCs w:val="21"/>
                    </w:rPr>
                    <m:t>it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Calibri"/>
                  <w:sz w:val="21"/>
                  <w:szCs w:val="21"/>
                  <w:lang w:val="en-GB"/>
                </w:rPr>
                <m:t>*</m:t>
              </m:r>
              <m:sSub>
                <m:sSubPr>
                  <m:ctrlPr>
                    <w:rPr>
                      <w:rFonts w:ascii="Cambria Math" w:hAnsi="Cambria Math" w:cs="Calibri"/>
                      <w:b/>
                      <w:i/>
                      <w:sz w:val="21"/>
                      <w:szCs w:val="21"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1"/>
                      <w:szCs w:val="21"/>
                      <w:lang w:val="en-GB"/>
                    </w:rPr>
                    <m:t>Year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1"/>
                      <w:szCs w:val="21"/>
                      <w:lang w:val="en-GB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 w:cs="Calibri"/>
              <w:sz w:val="21"/>
              <w:szCs w:val="21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</w:rPr>
                <m:t>ε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</w:rPr>
                <m:t>it</m:t>
              </m:r>
            </m:sub>
          </m:sSub>
        </m:oMath>
      </m:oMathPara>
    </w:p>
    <w:p w:rsidR="00C43DAB" w:rsidRPr="00C43DAB" w:rsidRDefault="00C43DAB" w:rsidP="00C43DAB">
      <w:pPr>
        <w:pStyle w:val="Listenabsatz"/>
        <w:numPr>
          <w:ilvl w:val="0"/>
          <w:numId w:val="3"/>
        </w:numPr>
        <w:spacing w:line="276" w:lineRule="auto"/>
        <w:rPr>
          <w:rFonts w:eastAsiaTheme="minorEastAsia"/>
          <w:sz w:val="22"/>
          <w:szCs w:val="22"/>
        </w:rPr>
      </w:pPr>
      <w:r w:rsidRPr="00C43DAB">
        <w:rPr>
          <w:rFonts w:eastAsiaTheme="minorEastAsia"/>
          <w:sz w:val="22"/>
          <w:szCs w:val="22"/>
        </w:rPr>
        <w:t xml:space="preserve">In dieser Regression wird die Treatment-Variable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TreatEF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it</m:t>
            </m:r>
          </m:sub>
        </m:sSub>
      </m:oMath>
      <w:r w:rsidRPr="00C43DAB">
        <w:rPr>
          <w:rFonts w:eastAsiaTheme="minorEastAsia"/>
          <w:sz w:val="21"/>
          <w:szCs w:val="21"/>
        </w:rPr>
        <w:t xml:space="preserve"> mit den Indikator-Variablen für die verschiedenen Jahre </w:t>
      </w:r>
      <w:r>
        <w:rPr>
          <w:rFonts w:eastAsiaTheme="minorEastAsia"/>
          <w:sz w:val="21"/>
          <w:szCs w:val="21"/>
        </w:rPr>
        <w:t>interagiert</w:t>
      </w:r>
    </w:p>
    <w:p w:rsidR="00C43DAB" w:rsidRPr="00630113" w:rsidRDefault="00C43DAB" w:rsidP="00630113">
      <w:pPr>
        <w:pStyle w:val="Listenabsatz"/>
        <w:numPr>
          <w:ilvl w:val="0"/>
          <w:numId w:val="6"/>
        </w:numPr>
        <w:spacing w:line="276" w:lineRule="auto"/>
        <w:rPr>
          <w:rFonts w:eastAsiaTheme="minorEastAsia"/>
          <w:sz w:val="22"/>
          <w:szCs w:val="22"/>
        </w:rPr>
      </w:pPr>
      <w:r w:rsidRPr="00630113">
        <w:rPr>
          <w:rFonts w:eastAsiaTheme="minorEastAsia"/>
          <w:sz w:val="21"/>
          <w:szCs w:val="21"/>
        </w:rPr>
        <w:t xml:space="preserve">Indikator-Variable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en-GB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en-GB"/>
              </w:rPr>
              <m:t>Year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en-GB"/>
              </w:rPr>
              <m:t>k</m:t>
            </m:r>
          </m:sub>
        </m:sSub>
      </m:oMath>
      <w:r w:rsidR="00630113" w:rsidRPr="00630113">
        <w:rPr>
          <w:rFonts w:eastAsiaTheme="minorEastAsia"/>
          <w:sz w:val="21"/>
          <w:szCs w:val="21"/>
        </w:rPr>
        <w:t xml:space="preserve"> für Jahr k</w:t>
      </w:r>
    </w:p>
    <w:p w:rsidR="00566749" w:rsidRDefault="00766A57" w:rsidP="00566749">
      <w:pPr>
        <w:pStyle w:val="Listenabsatz"/>
        <w:numPr>
          <w:ilvl w:val="0"/>
          <w:numId w:val="3"/>
        </w:numPr>
        <w:spacing w:line="276" w:lineRule="auto"/>
        <w:rPr>
          <w:rFonts w:eastAsiaTheme="minorEastAsia"/>
          <w:sz w:val="22"/>
          <w:szCs w:val="22"/>
        </w:rPr>
      </w:pPr>
      <w:r w:rsidRPr="00766A57">
        <w:rPr>
          <w:rFonts w:eastAsiaTheme="minorEastAsia"/>
          <w:sz w:val="22"/>
          <w:szCs w:val="22"/>
        </w:rPr>
        <w:t xml:space="preserve">Somit wird für jedes Jahr ein Regressionskoeffizient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 w:cs="Calibri"/>
                <w:sz w:val="21"/>
                <w:szCs w:val="21"/>
              </w:rPr>
              <m:t>k</m:t>
            </m:r>
          </m:sub>
        </m:sSub>
      </m:oMath>
      <w:r w:rsidRPr="00766A57">
        <w:rPr>
          <w:rFonts w:eastAsiaTheme="minorEastAsia"/>
          <w:sz w:val="21"/>
          <w:szCs w:val="21"/>
        </w:rPr>
        <w:t xml:space="preserve"> geschätzt</w:t>
      </w:r>
      <w:r w:rsidR="00566749">
        <w:rPr>
          <w:rFonts w:eastAsiaTheme="minorEastAsia"/>
          <w:sz w:val="22"/>
          <w:szCs w:val="22"/>
        </w:rPr>
        <w:t xml:space="preserve"> </w:t>
      </w:r>
    </w:p>
    <w:p w:rsidR="00630113" w:rsidRPr="00566749" w:rsidRDefault="00630113" w:rsidP="00566749">
      <w:pPr>
        <w:pStyle w:val="Listenabsatz"/>
        <w:numPr>
          <w:ilvl w:val="0"/>
          <w:numId w:val="6"/>
        </w:numPr>
        <w:spacing w:line="276" w:lineRule="auto"/>
        <w:rPr>
          <w:rFonts w:eastAsiaTheme="minorEastAsia"/>
          <w:sz w:val="22"/>
          <w:szCs w:val="22"/>
        </w:rPr>
      </w:pPr>
      <w:r w:rsidRPr="00566749">
        <w:rPr>
          <w:rFonts w:eastAsiaTheme="minorEastAsia"/>
          <w:sz w:val="22"/>
          <w:szCs w:val="22"/>
        </w:rPr>
        <w:t>Year – specific treatment effects</w:t>
      </w:r>
    </w:p>
    <w:p w:rsidR="007003FB" w:rsidRDefault="00566749" w:rsidP="007003FB">
      <w:pPr>
        <w:spacing w:line="276" w:lineRule="auto"/>
        <w:rPr>
          <w:rFonts w:eastAsiaTheme="minorEastAsia"/>
          <w:sz w:val="22"/>
          <w:szCs w:val="22"/>
        </w:rPr>
      </w:pPr>
      <w:r>
        <w:rPr>
          <w:rFonts w:eastAsiaTheme="minorEastAsia"/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460375</wp:posOffset>
            </wp:positionH>
            <wp:positionV relativeFrom="page">
              <wp:posOffset>6207597</wp:posOffset>
            </wp:positionV>
            <wp:extent cx="2720975" cy="4404360"/>
            <wp:effectExtent l="12700" t="12700" r="9525" b="15240"/>
            <wp:wrapNone/>
            <wp:docPr id="5" name="Grafik 5" descr="Ein Bild, das Text, Quittung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ariante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975" cy="4404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6749" w:rsidRDefault="00566749" w:rsidP="007003FB">
      <w:pPr>
        <w:spacing w:line="276" w:lineRule="auto"/>
        <w:rPr>
          <w:rFonts w:eastAsiaTheme="minorEastAsia"/>
          <w:sz w:val="22"/>
          <w:szCs w:val="22"/>
        </w:rPr>
      </w:pPr>
    </w:p>
    <w:p w:rsidR="007003FB" w:rsidRDefault="007003FB" w:rsidP="007003FB">
      <w:pPr>
        <w:spacing w:line="276" w:lineRule="auto"/>
        <w:rPr>
          <w:rFonts w:eastAsiaTheme="minorEastAsia"/>
          <w:sz w:val="22"/>
          <w:szCs w:val="22"/>
        </w:rPr>
      </w:pPr>
    </w:p>
    <w:p w:rsidR="007003FB" w:rsidRPr="007003FB" w:rsidRDefault="007003FB" w:rsidP="007003FB">
      <w:pPr>
        <w:spacing w:line="276" w:lineRule="auto"/>
        <w:rPr>
          <w:rFonts w:eastAsiaTheme="minorEastAsia"/>
          <w:sz w:val="22"/>
          <w:szCs w:val="22"/>
        </w:rPr>
      </w:pPr>
    </w:p>
    <w:p w:rsidR="00630113" w:rsidRDefault="00630113" w:rsidP="00630113">
      <w:pPr>
        <w:spacing w:line="276" w:lineRule="auto"/>
        <w:rPr>
          <w:rFonts w:eastAsiaTheme="minorEastAsia"/>
          <w:sz w:val="22"/>
          <w:szCs w:val="22"/>
        </w:rPr>
      </w:pPr>
    </w:p>
    <w:p w:rsidR="0094402D" w:rsidRDefault="0094402D" w:rsidP="00630113">
      <w:pPr>
        <w:spacing w:line="276" w:lineRule="auto"/>
        <w:rPr>
          <w:rFonts w:eastAsiaTheme="minorEastAsia"/>
          <w:sz w:val="22"/>
          <w:szCs w:val="22"/>
        </w:rPr>
      </w:pPr>
    </w:p>
    <w:p w:rsidR="0094402D" w:rsidRDefault="0094402D" w:rsidP="00630113">
      <w:pPr>
        <w:spacing w:line="276" w:lineRule="auto"/>
        <w:rPr>
          <w:rFonts w:eastAsiaTheme="minorEastAsia"/>
          <w:sz w:val="22"/>
          <w:szCs w:val="22"/>
        </w:rPr>
      </w:pPr>
    </w:p>
    <w:p w:rsidR="0094402D" w:rsidRDefault="0094402D" w:rsidP="00630113">
      <w:pPr>
        <w:spacing w:line="276" w:lineRule="auto"/>
        <w:rPr>
          <w:rFonts w:eastAsiaTheme="minorEastAsia"/>
          <w:sz w:val="22"/>
          <w:szCs w:val="22"/>
        </w:rPr>
      </w:pPr>
    </w:p>
    <w:p w:rsidR="0094402D" w:rsidRDefault="0094402D" w:rsidP="00630113">
      <w:pPr>
        <w:spacing w:line="276" w:lineRule="auto"/>
        <w:rPr>
          <w:rFonts w:eastAsiaTheme="minorEastAsia"/>
          <w:sz w:val="22"/>
          <w:szCs w:val="22"/>
        </w:rPr>
      </w:pPr>
    </w:p>
    <w:p w:rsidR="0094402D" w:rsidRDefault="0094402D" w:rsidP="00630113">
      <w:pPr>
        <w:spacing w:line="276" w:lineRule="auto"/>
        <w:rPr>
          <w:rFonts w:eastAsiaTheme="minorEastAsia"/>
          <w:sz w:val="22"/>
          <w:szCs w:val="22"/>
        </w:rPr>
      </w:pPr>
    </w:p>
    <w:p w:rsidR="0094402D" w:rsidRDefault="0094402D" w:rsidP="00630113">
      <w:pPr>
        <w:spacing w:line="276" w:lineRule="auto"/>
        <w:rPr>
          <w:rFonts w:eastAsiaTheme="minorEastAsia"/>
          <w:sz w:val="22"/>
          <w:szCs w:val="22"/>
        </w:rPr>
      </w:pPr>
    </w:p>
    <w:p w:rsidR="0094402D" w:rsidRDefault="0094402D" w:rsidP="00630113">
      <w:pPr>
        <w:spacing w:line="276" w:lineRule="auto"/>
        <w:rPr>
          <w:rFonts w:eastAsiaTheme="minorEastAsia"/>
          <w:sz w:val="22"/>
          <w:szCs w:val="22"/>
        </w:rPr>
      </w:pPr>
    </w:p>
    <w:p w:rsidR="0094402D" w:rsidRDefault="0094402D" w:rsidP="00630113">
      <w:pPr>
        <w:spacing w:line="276" w:lineRule="auto"/>
        <w:rPr>
          <w:rFonts w:eastAsiaTheme="minorEastAsia"/>
          <w:sz w:val="22"/>
          <w:szCs w:val="22"/>
        </w:rPr>
      </w:pPr>
    </w:p>
    <w:p w:rsidR="0094402D" w:rsidRDefault="0094402D" w:rsidP="00630113">
      <w:pPr>
        <w:spacing w:line="276" w:lineRule="auto"/>
        <w:rPr>
          <w:rFonts w:eastAsiaTheme="minorEastAsia"/>
          <w:sz w:val="22"/>
          <w:szCs w:val="22"/>
        </w:rPr>
      </w:pPr>
    </w:p>
    <w:p w:rsidR="0094402D" w:rsidRDefault="0094402D" w:rsidP="00630113">
      <w:pPr>
        <w:spacing w:line="276" w:lineRule="auto"/>
        <w:rPr>
          <w:rFonts w:eastAsiaTheme="minorEastAsia"/>
          <w:sz w:val="22"/>
          <w:szCs w:val="22"/>
        </w:rPr>
      </w:pPr>
    </w:p>
    <w:p w:rsidR="0094402D" w:rsidRDefault="0094402D" w:rsidP="00630113">
      <w:pPr>
        <w:spacing w:line="276" w:lineRule="auto"/>
        <w:rPr>
          <w:rFonts w:eastAsiaTheme="minorEastAsia"/>
          <w:sz w:val="22"/>
          <w:szCs w:val="22"/>
        </w:rPr>
      </w:pPr>
    </w:p>
    <w:p w:rsidR="0094402D" w:rsidRDefault="0094402D" w:rsidP="00630113">
      <w:pPr>
        <w:spacing w:line="276" w:lineRule="auto"/>
        <w:rPr>
          <w:rFonts w:eastAsiaTheme="minorEastAsia"/>
          <w:sz w:val="22"/>
          <w:szCs w:val="22"/>
        </w:rPr>
      </w:pPr>
    </w:p>
    <w:p w:rsidR="00630113" w:rsidRDefault="00630113" w:rsidP="00630113">
      <w:pPr>
        <w:spacing w:line="276" w:lineRule="auto"/>
        <w:rPr>
          <w:rFonts w:eastAsiaTheme="minorEastAsia"/>
          <w:sz w:val="22"/>
          <w:szCs w:val="22"/>
        </w:rPr>
      </w:pPr>
    </w:p>
    <w:p w:rsidR="00566749" w:rsidRDefault="00566749" w:rsidP="00630113">
      <w:pPr>
        <w:spacing w:line="276" w:lineRule="auto"/>
        <w:rPr>
          <w:rFonts w:eastAsiaTheme="minorEastAsia"/>
          <w:sz w:val="22"/>
          <w:szCs w:val="22"/>
        </w:rPr>
      </w:pPr>
    </w:p>
    <w:p w:rsidR="00630113" w:rsidRPr="002703BF" w:rsidRDefault="00630113" w:rsidP="00630113">
      <w:pPr>
        <w:spacing w:line="276" w:lineRule="auto"/>
        <w:rPr>
          <w:rFonts w:eastAsiaTheme="minorEastAsia"/>
          <w:b/>
          <w:bCs/>
          <w:sz w:val="22"/>
          <w:szCs w:val="22"/>
        </w:rPr>
      </w:pPr>
      <w:r w:rsidRPr="002703BF">
        <w:rPr>
          <w:rFonts w:eastAsiaTheme="minorEastAsia"/>
          <w:b/>
          <w:bCs/>
          <w:sz w:val="22"/>
          <w:szCs w:val="22"/>
        </w:rPr>
        <w:lastRenderedPageBreak/>
        <w:t>Fragen:</w:t>
      </w:r>
    </w:p>
    <w:p w:rsidR="00630113" w:rsidRPr="002703BF" w:rsidRDefault="00630113" w:rsidP="00630113">
      <w:pPr>
        <w:pStyle w:val="Listenabsatz"/>
        <w:spacing w:line="276" w:lineRule="auto"/>
        <w:rPr>
          <w:rFonts w:eastAsiaTheme="minorEastAsia"/>
          <w:b/>
          <w:bCs/>
          <w:sz w:val="22"/>
          <w:szCs w:val="22"/>
        </w:rPr>
      </w:pPr>
      <w:r w:rsidRPr="002703BF">
        <w:rPr>
          <w:rFonts w:eastAsiaTheme="minorEastAsia"/>
          <w:b/>
          <w:bCs/>
          <w:sz w:val="22"/>
          <w:szCs w:val="22"/>
        </w:rPr>
        <w:t xml:space="preserve">1. Welche Variante </w:t>
      </w:r>
      <w:r w:rsidR="00766A57" w:rsidRPr="002703BF">
        <w:rPr>
          <w:rFonts w:eastAsiaTheme="minorEastAsia"/>
          <w:b/>
          <w:bCs/>
          <w:sz w:val="22"/>
          <w:szCs w:val="22"/>
        </w:rPr>
        <w:t xml:space="preserve">bzw. Regressionsgleichung </w:t>
      </w:r>
      <w:r w:rsidRPr="002703BF">
        <w:rPr>
          <w:rFonts w:eastAsiaTheme="minorEastAsia"/>
          <w:b/>
          <w:bCs/>
          <w:sz w:val="22"/>
          <w:szCs w:val="22"/>
        </w:rPr>
        <w:t>sollen wir</w:t>
      </w:r>
      <w:r w:rsidR="00766A57" w:rsidRPr="002703BF">
        <w:rPr>
          <w:rFonts w:eastAsiaTheme="minorEastAsia"/>
          <w:b/>
          <w:bCs/>
          <w:sz w:val="22"/>
          <w:szCs w:val="22"/>
        </w:rPr>
        <w:t xml:space="preserve"> für den Abschlussbericht verwenden?</w:t>
      </w:r>
    </w:p>
    <w:p w:rsidR="00766A57" w:rsidRPr="002703BF" w:rsidRDefault="00766A57" w:rsidP="00630113">
      <w:pPr>
        <w:pStyle w:val="Listenabsatz"/>
        <w:spacing w:line="276" w:lineRule="auto"/>
        <w:rPr>
          <w:rFonts w:eastAsiaTheme="minorEastAsia"/>
          <w:b/>
          <w:bCs/>
          <w:sz w:val="22"/>
          <w:szCs w:val="22"/>
        </w:rPr>
      </w:pPr>
      <w:r w:rsidRPr="002703BF">
        <w:rPr>
          <w:rFonts w:eastAsiaTheme="minorEastAsia"/>
          <w:b/>
          <w:bCs/>
          <w:sz w:val="22"/>
          <w:szCs w:val="22"/>
        </w:rPr>
        <w:t>2. Sind die oben getroffenen Aussagen richtig?</w:t>
      </w:r>
    </w:p>
    <w:p w:rsidR="00766A57" w:rsidRPr="002703BF" w:rsidRDefault="00766A57" w:rsidP="00630113">
      <w:pPr>
        <w:pStyle w:val="Listenabsatz"/>
        <w:spacing w:line="276" w:lineRule="auto"/>
        <w:rPr>
          <w:rFonts w:eastAsiaTheme="minorEastAsia"/>
          <w:b/>
          <w:bCs/>
          <w:sz w:val="22"/>
          <w:szCs w:val="22"/>
        </w:rPr>
      </w:pPr>
      <w:r w:rsidRPr="002703BF">
        <w:rPr>
          <w:rFonts w:eastAsiaTheme="minorEastAsia"/>
          <w:b/>
          <w:bCs/>
          <w:sz w:val="22"/>
          <w:szCs w:val="22"/>
        </w:rPr>
        <w:t>3. Wie werden die Regressionskoeffizienten richtig und vollständig interpretiert</w:t>
      </w:r>
      <w:r w:rsidR="006551E7">
        <w:rPr>
          <w:rFonts w:eastAsiaTheme="minorEastAsia"/>
          <w:b/>
          <w:bCs/>
          <w:sz w:val="22"/>
          <w:szCs w:val="22"/>
        </w:rPr>
        <w:t>, wenn die Einrichtungen in verschiedenen Jahren in die Treatment-Gruppe kommen</w:t>
      </w:r>
      <w:r w:rsidRPr="002703BF">
        <w:rPr>
          <w:rFonts w:eastAsiaTheme="minorEastAsia"/>
          <w:b/>
          <w:bCs/>
          <w:sz w:val="22"/>
          <w:szCs w:val="22"/>
        </w:rPr>
        <w:t>?</w:t>
      </w:r>
      <w:bookmarkStart w:id="0" w:name="_GoBack"/>
      <w:bookmarkEnd w:id="0"/>
    </w:p>
    <w:p w:rsidR="00622536" w:rsidRPr="00C43DAB" w:rsidRDefault="00622536" w:rsidP="00C43DAB">
      <w:pPr>
        <w:spacing w:line="276" w:lineRule="auto"/>
        <w:rPr>
          <w:sz w:val="21"/>
          <w:szCs w:val="21"/>
          <w:u w:val="single"/>
        </w:rPr>
      </w:pPr>
      <w:r w:rsidRPr="00C43DAB">
        <w:rPr>
          <w:rFonts w:eastAsiaTheme="minorEastAsia"/>
          <w:sz w:val="22"/>
          <w:szCs w:val="22"/>
        </w:rPr>
        <w:t xml:space="preserve"> </w:t>
      </w:r>
    </w:p>
    <w:p w:rsidR="001A5C70" w:rsidRPr="00C43DAB" w:rsidRDefault="001A5C70" w:rsidP="00C83C42">
      <w:pPr>
        <w:spacing w:line="276" w:lineRule="auto"/>
        <w:rPr>
          <w:sz w:val="21"/>
          <w:szCs w:val="21"/>
          <w:u w:val="single"/>
        </w:rPr>
      </w:pPr>
    </w:p>
    <w:p w:rsidR="003F5457" w:rsidRPr="00C43DAB" w:rsidRDefault="003F5457">
      <w:pPr>
        <w:pStyle w:val="Listenabsatz"/>
        <w:spacing w:line="276" w:lineRule="auto"/>
        <w:rPr>
          <w:sz w:val="21"/>
          <w:szCs w:val="21"/>
        </w:rPr>
      </w:pPr>
    </w:p>
    <w:sectPr w:rsidR="003F5457" w:rsidRPr="00C43DAB" w:rsidSect="004F272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40044"/>
    <w:multiLevelType w:val="hybridMultilevel"/>
    <w:tmpl w:val="9364D662"/>
    <w:lvl w:ilvl="0" w:tplc="343E77C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9E281E"/>
    <w:multiLevelType w:val="hybridMultilevel"/>
    <w:tmpl w:val="80A25166"/>
    <w:lvl w:ilvl="0" w:tplc="12628A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B0509"/>
    <w:multiLevelType w:val="hybridMultilevel"/>
    <w:tmpl w:val="9A4610CE"/>
    <w:lvl w:ilvl="0" w:tplc="682274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94FCE"/>
    <w:multiLevelType w:val="hybridMultilevel"/>
    <w:tmpl w:val="868C1C14"/>
    <w:lvl w:ilvl="0" w:tplc="19F890D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8681A"/>
    <w:multiLevelType w:val="hybridMultilevel"/>
    <w:tmpl w:val="CE04EDC2"/>
    <w:lvl w:ilvl="0" w:tplc="838C01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71015"/>
    <w:multiLevelType w:val="hybridMultilevel"/>
    <w:tmpl w:val="D20A633E"/>
    <w:lvl w:ilvl="0" w:tplc="340ACC08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C70"/>
    <w:rsid w:val="00037A0A"/>
    <w:rsid w:val="001226EC"/>
    <w:rsid w:val="001A5C70"/>
    <w:rsid w:val="002703BF"/>
    <w:rsid w:val="003F5457"/>
    <w:rsid w:val="004F2720"/>
    <w:rsid w:val="00513B82"/>
    <w:rsid w:val="00566749"/>
    <w:rsid w:val="00622536"/>
    <w:rsid w:val="00630113"/>
    <w:rsid w:val="006551E7"/>
    <w:rsid w:val="006F2C06"/>
    <w:rsid w:val="007003FB"/>
    <w:rsid w:val="00766A57"/>
    <w:rsid w:val="0094402D"/>
    <w:rsid w:val="00C43DAB"/>
    <w:rsid w:val="00C83C42"/>
    <w:rsid w:val="00D91D1E"/>
    <w:rsid w:val="00D96840"/>
    <w:rsid w:val="00F4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F8DEC"/>
  <w14:defaultImageDpi w14:val="32767"/>
  <w15:chartTrackingRefBased/>
  <w15:docId w15:val="{1B7F9317-BA69-6F4E-8C5F-FAD4FD5F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A5C70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1A5C70"/>
    <w:rPr>
      <w:color w:val="808080"/>
    </w:rPr>
  </w:style>
  <w:style w:type="table" w:styleId="Tabellenraster">
    <w:name w:val="Table Grid"/>
    <w:basedOn w:val="NormaleTabelle"/>
    <w:uiPriority w:val="39"/>
    <w:rsid w:val="00C83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457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Zurl</dc:creator>
  <cp:keywords/>
  <dc:description/>
  <cp:lastModifiedBy>Yannick Zurl</cp:lastModifiedBy>
  <cp:revision>5</cp:revision>
  <dcterms:created xsi:type="dcterms:W3CDTF">2020-02-24T18:14:00Z</dcterms:created>
  <dcterms:modified xsi:type="dcterms:W3CDTF">2020-02-24T21:12:00Z</dcterms:modified>
</cp:coreProperties>
</file>