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7E7C" w14:textId="77777777" w:rsidR="00F91655" w:rsidRDefault="00F91655" w:rsidP="00F91655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5C96C63E" wp14:editId="1F4027DF">
            <wp:extent cx="3154680" cy="791267"/>
            <wp:effectExtent l="0" t="0" r="0" b="0"/>
            <wp:docPr id="1" name="Imagem 1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21B3" w14:textId="77777777" w:rsidR="00F91655" w:rsidRDefault="00F91655" w:rsidP="00F9165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133FA9B0" w14:textId="72E37FE0" w:rsidR="00F91655" w:rsidRPr="00F91655" w:rsidRDefault="00F91655" w:rsidP="00F91655">
      <w:pPr>
        <w:jc w:val="center"/>
        <w:rPr>
          <w:rFonts w:asciiTheme="minorHAnsi" w:hAnsiTheme="minorHAnsi" w:cstheme="minorHAnsi"/>
          <w:b/>
          <w:sz w:val="32"/>
        </w:rPr>
      </w:pPr>
      <w:r w:rsidRPr="0038261C">
        <w:rPr>
          <w:rFonts w:asciiTheme="minorHAnsi" w:hAnsiTheme="minorHAnsi" w:cstheme="minorHAnsi"/>
          <w:b/>
          <w:sz w:val="32"/>
        </w:rPr>
        <w:t xml:space="preserve">Ciência da Computação – </w:t>
      </w:r>
      <w:r>
        <w:rPr>
          <w:rFonts w:asciiTheme="minorHAnsi" w:hAnsiTheme="minorHAnsi" w:cstheme="minorHAnsi"/>
          <w:b/>
          <w:sz w:val="32"/>
        </w:rPr>
        <w:t>Governança de TI</w:t>
      </w:r>
    </w:p>
    <w:p w14:paraId="34D75D7D" w14:textId="4CE07D11" w:rsidR="00B467E2" w:rsidRDefault="00B467E2" w:rsidP="00B467E2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Exercício </w:t>
      </w:r>
      <w:r w:rsidR="00A77E97">
        <w:rPr>
          <w:rFonts w:ascii="Times New Roman" w:hAnsi="Times New Roman" w:cs="Times New Roman"/>
          <w:sz w:val="28"/>
          <w:szCs w:val="20"/>
        </w:rPr>
        <w:t>09</w:t>
      </w:r>
    </w:p>
    <w:p w14:paraId="47360DA3" w14:textId="42931BD3" w:rsidR="002C0A30" w:rsidRDefault="002C0A30" w:rsidP="002C0A3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Liste o nome do(s) processo(s) que está(</w:t>
      </w:r>
      <w:proofErr w:type="spellStart"/>
      <w:r>
        <w:rPr>
          <w:rFonts w:ascii="Times New Roman" w:hAnsi="Times New Roman" w:cs="Times New Roman"/>
          <w:sz w:val="28"/>
          <w:szCs w:val="20"/>
        </w:rPr>
        <w:t>ão</w:t>
      </w:r>
      <w:proofErr w:type="spellEnd"/>
      <w:r>
        <w:rPr>
          <w:rFonts w:ascii="Times New Roman" w:hAnsi="Times New Roman" w:cs="Times New Roman"/>
          <w:sz w:val="28"/>
          <w:szCs w:val="20"/>
        </w:rPr>
        <w:t>) contemplado(s) em cada um dos livros da ITIL:</w:t>
      </w:r>
    </w:p>
    <w:p w14:paraId="4931FE27" w14:textId="1017AB1B" w:rsidR="002C0A30" w:rsidRDefault="002C0A30" w:rsidP="002C0A30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Estratégia de Serviços</w:t>
      </w:r>
      <w:r w:rsidR="00E11904">
        <w:rPr>
          <w:rFonts w:ascii="Times New Roman" w:hAnsi="Times New Roman" w:cs="Times New Roman"/>
          <w:sz w:val="28"/>
          <w:szCs w:val="20"/>
        </w:rPr>
        <w:t xml:space="preserve"> </w:t>
      </w:r>
    </w:p>
    <w:p w14:paraId="695B6B40" w14:textId="56162DBF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Portfólio de Serviço</w:t>
      </w:r>
    </w:p>
    <w:p w14:paraId="1BBD7AD1" w14:textId="3E5BF88F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Demanda</w:t>
      </w:r>
    </w:p>
    <w:p w14:paraId="2BDE3FD0" w14:textId="2BF7C014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Financeiro</w:t>
      </w:r>
    </w:p>
    <w:p w14:paraId="526115E0" w14:textId="054FB5CF" w:rsidR="002C0A30" w:rsidRDefault="002C0A30" w:rsidP="002C0A30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Desenho de Serviços</w:t>
      </w:r>
    </w:p>
    <w:p w14:paraId="73692ADD" w14:textId="75AC57E5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Gerenciamento de catálogo de serviço </w:t>
      </w:r>
    </w:p>
    <w:p w14:paraId="08CFA809" w14:textId="79ACC5CC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nível de serviço</w:t>
      </w:r>
    </w:p>
    <w:p w14:paraId="41B18722" w14:textId="6F77B1B8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capacidade</w:t>
      </w:r>
    </w:p>
    <w:p w14:paraId="6C6B0A63" w14:textId="632C8A41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Disponibilidade</w:t>
      </w:r>
    </w:p>
    <w:p w14:paraId="060CC0FC" w14:textId="20BCFF61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Continuidade do Serviço de TI</w:t>
      </w:r>
    </w:p>
    <w:p w14:paraId="697D8827" w14:textId="78A06CF1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Segurança da Informação</w:t>
      </w:r>
    </w:p>
    <w:p w14:paraId="7CC717E6" w14:textId="04F132CE" w:rsidR="00E11904" w:rsidRDefault="00E1190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Fornecedor</w:t>
      </w:r>
    </w:p>
    <w:p w14:paraId="5DFE6CA3" w14:textId="527F608C" w:rsidR="002C0A30" w:rsidRDefault="002C0A30" w:rsidP="002C0A30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Transição de Serviços</w:t>
      </w:r>
    </w:p>
    <w:p w14:paraId="35419F73" w14:textId="56A5589A" w:rsidR="00E11904" w:rsidRDefault="0009557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da Configuração e de Ativo de Serviço</w:t>
      </w:r>
    </w:p>
    <w:p w14:paraId="0F91B1CA" w14:textId="3E918490" w:rsidR="00095574" w:rsidRDefault="0009557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Liberação e Implementação</w:t>
      </w:r>
    </w:p>
    <w:p w14:paraId="1D77E586" w14:textId="08F2AF7F" w:rsidR="00095574" w:rsidRDefault="00095574" w:rsidP="00E1190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do Conhecimento</w:t>
      </w:r>
    </w:p>
    <w:p w14:paraId="719E9D9D" w14:textId="5CD9E574" w:rsidR="00095574" w:rsidRPr="00095574" w:rsidRDefault="00095574" w:rsidP="0009557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Mudança</w:t>
      </w:r>
    </w:p>
    <w:p w14:paraId="7BA7CE3F" w14:textId="34184DEA" w:rsidR="002C0A30" w:rsidRDefault="002C0A30" w:rsidP="002C0A30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Operação de Serviços</w:t>
      </w:r>
    </w:p>
    <w:p w14:paraId="15688494" w14:textId="24659D9A" w:rsidR="00095574" w:rsidRDefault="00095574" w:rsidP="0009557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Incidentes</w:t>
      </w:r>
    </w:p>
    <w:p w14:paraId="06CF9D70" w14:textId="5E83EE28" w:rsidR="00095574" w:rsidRDefault="00095574" w:rsidP="0009557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Problemas</w:t>
      </w:r>
    </w:p>
    <w:p w14:paraId="6C691782" w14:textId="26469944" w:rsidR="00095574" w:rsidRDefault="00095574" w:rsidP="0009557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Gerenciamento de Comprimentos de Requisição</w:t>
      </w:r>
    </w:p>
    <w:p w14:paraId="7684066A" w14:textId="401D9FBF" w:rsidR="00095574" w:rsidRDefault="00095574" w:rsidP="0009557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Gerenciamento de Acesso </w:t>
      </w:r>
    </w:p>
    <w:p w14:paraId="2371CA99" w14:textId="7389D955" w:rsidR="002C0A30" w:rsidRDefault="002C0A30" w:rsidP="002C0A30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Melhoria de Serviço Continuada.</w:t>
      </w:r>
    </w:p>
    <w:p w14:paraId="78E3A1AD" w14:textId="74F21137" w:rsidR="00095574" w:rsidRDefault="00095574" w:rsidP="0009557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Sete passos de melhorias</w:t>
      </w:r>
    </w:p>
    <w:p w14:paraId="4E235846" w14:textId="5512F29E" w:rsidR="00095574" w:rsidRDefault="00095574" w:rsidP="0009557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Relatório de Serviço</w:t>
      </w:r>
    </w:p>
    <w:p w14:paraId="3A989B34" w14:textId="44839368" w:rsidR="00095574" w:rsidRDefault="00095574" w:rsidP="00095574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Avaliação de Serviço</w:t>
      </w:r>
    </w:p>
    <w:p w14:paraId="4E8DE82B" w14:textId="778FFCD8" w:rsidR="00F91655" w:rsidRDefault="00F91655" w:rsidP="00F9165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Identifique, de acordo com seus conhecimentos, qual considera mais importante em cada um dos livros e explique o motivo que te levou a consideração.</w:t>
      </w:r>
    </w:p>
    <w:p w14:paraId="14BDD7CA" w14:textId="77777777" w:rsidR="000D32E0" w:rsidRDefault="000D32E0" w:rsidP="000D32E0">
      <w:pPr>
        <w:pStyle w:val="PargrafodaLista"/>
        <w:jc w:val="both"/>
        <w:rPr>
          <w:rFonts w:ascii="Times New Roman" w:hAnsi="Times New Roman" w:cs="Times New Roman"/>
          <w:sz w:val="28"/>
          <w:szCs w:val="20"/>
        </w:rPr>
      </w:pPr>
    </w:p>
    <w:p w14:paraId="45C89293" w14:textId="77777777" w:rsidR="000D32E0" w:rsidRDefault="000D32E0" w:rsidP="000D32E0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Estratégia de Serviços </w:t>
      </w:r>
    </w:p>
    <w:p w14:paraId="32F880E4" w14:textId="01E1540F" w:rsidR="000D32E0" w:rsidRDefault="000D32E0" w:rsidP="000D32E0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0D32E0">
        <w:rPr>
          <w:rFonts w:ascii="Times New Roman" w:hAnsi="Times New Roman" w:cs="Times New Roman"/>
          <w:sz w:val="28"/>
          <w:szCs w:val="20"/>
        </w:rPr>
        <w:t>Gerenciamento de Portfólio de Serviço:</w:t>
      </w:r>
    </w:p>
    <w:p w14:paraId="56AF5551" w14:textId="2394D75C" w:rsidR="000D32E0" w:rsidRDefault="000D32E0" w:rsidP="000D32E0">
      <w:pPr>
        <w:pStyle w:val="PargrafodaLista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Este processo acaba sendo bastante </w:t>
      </w:r>
      <w:r w:rsidRPr="000D32E0">
        <w:rPr>
          <w:rFonts w:ascii="Times New Roman" w:hAnsi="Times New Roman" w:cs="Times New Roman"/>
          <w:sz w:val="28"/>
          <w:szCs w:val="20"/>
        </w:rPr>
        <w:t>crucial para alinhar os serviços de TI com os objetivos do negócio, garantindo que</w:t>
      </w:r>
      <w:r>
        <w:rPr>
          <w:rFonts w:ascii="Times New Roman" w:hAnsi="Times New Roman" w:cs="Times New Roman"/>
          <w:sz w:val="28"/>
          <w:szCs w:val="20"/>
        </w:rPr>
        <w:t xml:space="preserve"> todos </w:t>
      </w:r>
      <w:r w:rsidRPr="000D32E0">
        <w:rPr>
          <w:rFonts w:ascii="Times New Roman" w:hAnsi="Times New Roman" w:cs="Times New Roman"/>
          <w:sz w:val="28"/>
          <w:szCs w:val="20"/>
        </w:rPr>
        <w:t>os recursos sejam alocados eficientemente e que a oferta de serviços atenda às necessidades estratégicas.</w:t>
      </w:r>
    </w:p>
    <w:p w14:paraId="705DC7CE" w14:textId="385BD37C" w:rsidR="000D32E0" w:rsidRDefault="000D32E0" w:rsidP="000D32E0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Desenhos de Serviço</w:t>
      </w:r>
    </w:p>
    <w:p w14:paraId="1820D364" w14:textId="3A3982E6" w:rsidR="000D32E0" w:rsidRDefault="000D32E0" w:rsidP="000D32E0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0D32E0">
        <w:rPr>
          <w:rFonts w:ascii="Times New Roman" w:hAnsi="Times New Roman" w:cs="Times New Roman"/>
          <w:sz w:val="28"/>
          <w:szCs w:val="20"/>
        </w:rPr>
        <w:t>Gerenciamento de Nível de Serviço:</w:t>
      </w:r>
    </w:p>
    <w:p w14:paraId="42996F4B" w14:textId="45B84C48" w:rsidR="000D32E0" w:rsidRDefault="000D32E0" w:rsidP="000D32E0">
      <w:pPr>
        <w:pStyle w:val="PargrafodaLista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Com esse processo, é possível entender que é </w:t>
      </w:r>
      <w:r w:rsidRPr="000D32E0">
        <w:rPr>
          <w:rFonts w:ascii="Times New Roman" w:hAnsi="Times New Roman" w:cs="Times New Roman"/>
          <w:sz w:val="28"/>
          <w:szCs w:val="20"/>
        </w:rPr>
        <w:t xml:space="preserve"> essencial para garantir que os serviços atendam aos requisitos acordados com os clientes. O estabelecimento e monitoramento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0D32E0">
        <w:rPr>
          <w:rFonts w:ascii="Times New Roman" w:hAnsi="Times New Roman" w:cs="Times New Roman"/>
          <w:sz w:val="28"/>
          <w:szCs w:val="20"/>
        </w:rPr>
        <w:t>são fundamentais para garantir a satisfação do cliente.</w:t>
      </w:r>
    </w:p>
    <w:p w14:paraId="4B9C1001" w14:textId="5840F581" w:rsidR="000D32E0" w:rsidRDefault="000D32E0" w:rsidP="000D32E0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Transição de Serviços</w:t>
      </w:r>
    </w:p>
    <w:p w14:paraId="475180C7" w14:textId="550B01E8" w:rsidR="000D32E0" w:rsidRDefault="000D32E0" w:rsidP="000D32E0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0D32E0">
        <w:rPr>
          <w:rFonts w:ascii="Times New Roman" w:hAnsi="Times New Roman" w:cs="Times New Roman"/>
          <w:sz w:val="28"/>
          <w:szCs w:val="20"/>
        </w:rPr>
        <w:t>Gerenciamento de Mudança:</w:t>
      </w:r>
    </w:p>
    <w:p w14:paraId="6C849F34" w14:textId="1242CDEC" w:rsidR="000D32E0" w:rsidRDefault="000D32E0" w:rsidP="000D32E0">
      <w:pPr>
        <w:pStyle w:val="PargrafodaLista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0D32E0">
        <w:rPr>
          <w:rFonts w:ascii="Times New Roman" w:hAnsi="Times New Roman" w:cs="Times New Roman"/>
          <w:sz w:val="28"/>
          <w:szCs w:val="20"/>
        </w:rPr>
        <w:t>Este processo é crítico para garantir que as mudanças sejam implementadas de forma controlada, minimizando riscos e interrupções nos serviços.</w:t>
      </w:r>
    </w:p>
    <w:p w14:paraId="2EF1E868" w14:textId="34C74822" w:rsidR="000D32E0" w:rsidRDefault="000D32E0" w:rsidP="000D32E0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Operação de Serviço:</w:t>
      </w:r>
    </w:p>
    <w:p w14:paraId="60DA35DA" w14:textId="18577104" w:rsidR="000D32E0" w:rsidRDefault="000D32E0" w:rsidP="000D32E0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0D32E0">
        <w:rPr>
          <w:rFonts w:ascii="Times New Roman" w:hAnsi="Times New Roman" w:cs="Times New Roman"/>
          <w:sz w:val="28"/>
          <w:szCs w:val="20"/>
        </w:rPr>
        <w:t>Gerenciamento de Incidentes</w:t>
      </w:r>
      <w:r>
        <w:rPr>
          <w:rFonts w:ascii="Times New Roman" w:hAnsi="Times New Roman" w:cs="Times New Roman"/>
          <w:sz w:val="28"/>
          <w:szCs w:val="20"/>
        </w:rPr>
        <w:t>:</w:t>
      </w:r>
    </w:p>
    <w:p w14:paraId="65E588A7" w14:textId="42F73824" w:rsidR="000D32E0" w:rsidRDefault="000D32E0" w:rsidP="000D32E0">
      <w:pPr>
        <w:pStyle w:val="PargrafodaLista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0D32E0">
        <w:rPr>
          <w:rFonts w:ascii="Times New Roman" w:hAnsi="Times New Roman" w:cs="Times New Roman"/>
          <w:sz w:val="28"/>
          <w:szCs w:val="20"/>
        </w:rPr>
        <w:t>Fundamental para restaurar a normalidade dos serviços após interrupções, minimizando impactos nos usuários e no negócio.</w:t>
      </w:r>
    </w:p>
    <w:p w14:paraId="6BEB9DEF" w14:textId="31CCD693" w:rsidR="000D32E0" w:rsidRDefault="000D32E0" w:rsidP="000D32E0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Melhoria de Serviço Continuada:</w:t>
      </w:r>
    </w:p>
    <w:p w14:paraId="1F8A1B43" w14:textId="5B65C9D3" w:rsidR="000D32E0" w:rsidRDefault="000D32E0" w:rsidP="000D32E0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0D32E0">
        <w:rPr>
          <w:rFonts w:ascii="Times New Roman" w:hAnsi="Times New Roman" w:cs="Times New Roman"/>
          <w:sz w:val="28"/>
          <w:szCs w:val="20"/>
        </w:rPr>
        <w:t>Sete Passos de Melhorias:</w:t>
      </w:r>
    </w:p>
    <w:p w14:paraId="0DBA1B04" w14:textId="637FBD22" w:rsidR="000D32E0" w:rsidRDefault="000D32E0" w:rsidP="000D32E0">
      <w:pPr>
        <w:pStyle w:val="PargrafodaLista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0D32E0">
        <w:rPr>
          <w:rFonts w:ascii="Times New Roman" w:hAnsi="Times New Roman" w:cs="Times New Roman"/>
          <w:sz w:val="28"/>
          <w:szCs w:val="20"/>
        </w:rPr>
        <w:t>Este processo é central, pois fornece uma estrutura para identificar, implementar e monitorar melhorias contínuas em todos os aspectos dos serviços de TI, promovendo a eficácia e a eficiência a longo prazo.</w:t>
      </w:r>
    </w:p>
    <w:p w14:paraId="78A2188F" w14:textId="3687C048" w:rsidR="008112FB" w:rsidRPr="00BB360E" w:rsidRDefault="008112FB" w:rsidP="000D32E0">
      <w:pPr>
        <w:rPr>
          <w:rFonts w:ascii="Times New Roman" w:hAnsi="Times New Roman" w:cs="Times New Roman"/>
          <w:sz w:val="28"/>
          <w:szCs w:val="20"/>
        </w:rPr>
      </w:pPr>
    </w:p>
    <w:sectPr w:rsidR="008112FB" w:rsidRPr="00BB3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BA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65EC"/>
    <w:multiLevelType w:val="hybridMultilevel"/>
    <w:tmpl w:val="B96AB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6254"/>
    <w:multiLevelType w:val="hybridMultilevel"/>
    <w:tmpl w:val="5DEA2E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2A1C"/>
    <w:multiLevelType w:val="hybridMultilevel"/>
    <w:tmpl w:val="5C2463D2"/>
    <w:lvl w:ilvl="0" w:tplc="0C7C2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ED0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A1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4C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27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AF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9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21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2B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215BC5"/>
    <w:multiLevelType w:val="hybridMultilevel"/>
    <w:tmpl w:val="9C7AA05E"/>
    <w:lvl w:ilvl="0" w:tplc="D64A5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07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4B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4A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24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AB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18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6E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0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443FC8"/>
    <w:multiLevelType w:val="hybridMultilevel"/>
    <w:tmpl w:val="1DE664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438506">
    <w:abstractNumId w:val="0"/>
  </w:num>
  <w:num w:numId="2" w16cid:durableId="1782528740">
    <w:abstractNumId w:val="4"/>
  </w:num>
  <w:num w:numId="3" w16cid:durableId="207692416">
    <w:abstractNumId w:val="2"/>
  </w:num>
  <w:num w:numId="4" w16cid:durableId="568734792">
    <w:abstractNumId w:val="3"/>
  </w:num>
  <w:num w:numId="5" w16cid:durableId="22887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7"/>
    <w:rsid w:val="00095574"/>
    <w:rsid w:val="000D32E0"/>
    <w:rsid w:val="001C3CE0"/>
    <w:rsid w:val="002C0A30"/>
    <w:rsid w:val="00332687"/>
    <w:rsid w:val="00345776"/>
    <w:rsid w:val="003D0584"/>
    <w:rsid w:val="006278BC"/>
    <w:rsid w:val="006615C8"/>
    <w:rsid w:val="00745854"/>
    <w:rsid w:val="00807120"/>
    <w:rsid w:val="008112FB"/>
    <w:rsid w:val="00814776"/>
    <w:rsid w:val="009F5BD0"/>
    <w:rsid w:val="00A77E97"/>
    <w:rsid w:val="00B467E2"/>
    <w:rsid w:val="00BB360E"/>
    <w:rsid w:val="00E11904"/>
    <w:rsid w:val="00F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63D7"/>
  <w15:chartTrackingRefBased/>
  <w15:docId w15:val="{505EC60B-26C2-480B-A640-49C43D0C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87"/>
    <w:pPr>
      <w:spacing w:after="200" w:line="276" w:lineRule="auto"/>
    </w:pPr>
    <w:rPr>
      <w:rFonts w:ascii="Wingdings" w:eastAsia="Wingdings" w:hAnsi="Wingdings" w:cs="DIBABJ+TimesNew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79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2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3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5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8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2</cp:revision>
  <cp:lastPrinted>2020-12-06T13:00:00Z</cp:lastPrinted>
  <dcterms:created xsi:type="dcterms:W3CDTF">2023-11-25T00:15:00Z</dcterms:created>
  <dcterms:modified xsi:type="dcterms:W3CDTF">2023-11-25T00:15:00Z</dcterms:modified>
</cp:coreProperties>
</file>