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Submit each section individually to receive potential changes by frangioni.</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Is recommended to start the theoretical part first, finish it, and receive the approval before delving into the code, this in order to avoid potential erroneous applications.</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The project needs to be finished before the next year (AY) projects are opened, exceptions are made when the current project is close to being completed, and so the deadline is given until the finish of the calendar year.</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The final distribution of code and additional material is sent only when the project is approved and ready to send to advance onto the oral exam.</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In rare cases the code or additional material can also receive remarks to change some things, rare cases since the biggest problems should’ve been ironed by that point.</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If we choose to abandon the current project we have, the written + oral approach becomes mandatory, be careful.</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Plagiarism is highly penalized by the professor, we need to cite everything we took from theory books, internet, or whatever it is.</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The professor will also check that our project doesn’t resemble existing projects that are available on the internet, repositories and so on.</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The oral exam will start with a discussion of your project, and possible improvements. Usually, other parts of the course’s syllabus emerge during this discussion. You are expected to be familiar with all the main ideas and topics of the syllabus, but the main purpose of this course is insight, not proofs, and this is what you will be tested on. The idea is that the relevant theoretical parts will have been discussed in details in the report, possibly incorporating feedback, and therefore there should be little point in delving upon them again, unless the discussion strictly warrents this. Of course, this does not apply to oral exams in the standard “written + oral” track.</w:t>
      </w:r>
    </w:p>
    <w:p w:rsidR="00000000" w:rsidDel="00000000" w:rsidP="00000000" w:rsidRDefault="00000000" w:rsidRPr="00000000" w14:paraId="00000012">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