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4C8B1" w14:textId="77777777" w:rsidR="00961899" w:rsidRPr="00961899" w:rsidRDefault="00A314DA" w:rsidP="00961899">
      <w:pPr>
        <w:numPr>
          <w:ilvl w:val="0"/>
          <w:numId w:val="7"/>
        </w:num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b/>
          <w:bCs/>
          <w:color w:val="111111"/>
          <w:shd w:val="clear" w:color="auto" w:fill="F4F4F4"/>
        </w:rPr>
        <w:t xml:space="preserve">Problem </w:t>
      </w:r>
      <w:r w:rsidR="00AC7493">
        <w:rPr>
          <w:rFonts w:ascii="Helvetica" w:hAnsi="Helvetica"/>
          <w:b/>
          <w:bCs/>
          <w:color w:val="111111"/>
          <w:shd w:val="clear" w:color="auto" w:fill="F4F4F4"/>
        </w:rPr>
        <w:t xml:space="preserve">21.5  </w:t>
      </w:r>
    </w:p>
    <w:p w14:paraId="6F6F019B" w14:textId="5252953A" w:rsidR="006A0A6A" w:rsidRPr="006A0A6A" w:rsidRDefault="006A0A6A" w:rsidP="00961899">
      <w:pPr>
        <w:pStyle w:val="ListParagraph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06FA9153" w14:textId="115A27A3" w:rsidR="006A0A6A" w:rsidRPr="00B35EBC" w:rsidRDefault="006A0A6A" w:rsidP="006A0A6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6A0A6A"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>Integrate the following function both analytically and using Simpson’s rules, with n = 4 and 5. Discuss the results.</w:t>
      </w:r>
      <w:r>
        <w:rPr>
          <w:rFonts w:ascii="Helvetica" w:eastAsia="Times New Roman" w:hAnsi="Helvetica" w:cs="Times New Roman"/>
          <w:b/>
          <w:bCs/>
          <w:color w:val="111111"/>
          <w:shd w:val="clear" w:color="auto" w:fill="F4F4F4"/>
        </w:rPr>
        <w:t xml:space="preserve"> </w:t>
      </w:r>
    </w:p>
    <w:p w14:paraId="6D7619BB" w14:textId="77777777" w:rsidR="00B35EBC" w:rsidRDefault="00B35EBC" w:rsidP="00B35EBC">
      <w:pPr>
        <w:ind w:left="720"/>
        <w:rPr>
          <w:rFonts w:ascii="Helvetica" w:hAnsi="Helvetica"/>
          <w:color w:val="111111"/>
          <w:shd w:val="clear" w:color="auto" w:fill="F4F4F4"/>
        </w:rPr>
      </w:pPr>
    </w:p>
    <w:p w14:paraId="4AAF6384" w14:textId="7C5DA56F" w:rsidR="00B35EBC" w:rsidRPr="00B35EBC" w:rsidRDefault="00B35EBC" w:rsidP="00B35EBC">
      <w:pPr>
        <w:ind w:left="720"/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t>First let</w:t>
      </w:r>
      <w:r w:rsidR="00B269A6">
        <w:rPr>
          <w:rFonts w:ascii="Helvetica" w:hAnsi="Helvetica"/>
          <w:color w:val="111111"/>
          <w:shd w:val="clear" w:color="auto" w:fill="F4F4F4"/>
        </w:rPr>
        <w:t>’</w:t>
      </w:r>
      <w:r>
        <w:rPr>
          <w:rFonts w:ascii="Helvetica" w:hAnsi="Helvetica"/>
          <w:color w:val="111111"/>
          <w:shd w:val="clear" w:color="auto" w:fill="F4F4F4"/>
        </w:rPr>
        <w:t>s plot the function with the limits and calculate the integration</w:t>
      </w:r>
      <w:r w:rsidRPr="00B35EBC">
        <w:rPr>
          <w:rFonts w:ascii="Helvetica" w:hAnsi="Helvetica"/>
          <w:color w:val="111111"/>
          <w:shd w:val="clear" w:color="auto" w:fill="F4F4F4"/>
        </w:rPr>
        <w:t xml:space="preserve"> </w:t>
      </w:r>
      <w:r>
        <w:rPr>
          <w:rFonts w:ascii="Helvetica" w:hAnsi="Helvetica"/>
          <w:color w:val="111111"/>
          <w:shd w:val="clear" w:color="auto" w:fill="F4F4F4"/>
        </w:rPr>
        <w:t xml:space="preserve">analytically. </w:t>
      </w:r>
    </w:p>
    <w:p w14:paraId="048BBF3A" w14:textId="4973C404" w:rsidR="006A0A6A" w:rsidRDefault="006A0A6A" w:rsidP="006A0A6A">
      <w:pPr>
        <w:ind w:left="720"/>
        <w:jc w:val="center"/>
        <w:rPr>
          <w:rFonts w:ascii="Helvetica" w:hAnsi="Helvetica"/>
          <w:color w:val="111111"/>
          <w:shd w:val="clear" w:color="auto" w:fill="F4F4F4"/>
        </w:rPr>
      </w:pPr>
      <w:r w:rsidRPr="006A0A6A">
        <w:rPr>
          <w:noProof/>
          <w:shd w:val="clear" w:color="auto" w:fill="F4F4F4"/>
        </w:rPr>
        <w:drawing>
          <wp:inline distT="0" distB="0" distL="0" distR="0" wp14:anchorId="21153D92" wp14:editId="5F3EA5AA">
            <wp:extent cx="3301023" cy="123291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616" cy="13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F63" w:rsidRPr="008C0004">
        <w:rPr>
          <w:rFonts w:ascii="Helvetica" w:hAnsi="Helvetica"/>
          <w:noProof/>
          <w:color w:val="111111"/>
          <w:shd w:val="clear" w:color="auto" w:fill="F4F4F4"/>
        </w:rPr>
        <w:drawing>
          <wp:inline distT="0" distB="0" distL="0" distR="0" wp14:anchorId="7933B839" wp14:editId="105C704A">
            <wp:extent cx="1801770" cy="20091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899" cy="20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7F90" w14:textId="5F63A318" w:rsidR="00BD5C10" w:rsidRDefault="00546F63" w:rsidP="006A0A6A">
      <w:pPr>
        <w:ind w:left="720"/>
        <w:jc w:val="center"/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noProof/>
          <w:color w:val="111111"/>
          <w:shd w:val="clear" w:color="auto" w:fill="F4F4F4"/>
        </w:rPr>
        <w:drawing>
          <wp:inline distT="0" distB="0" distL="0" distR="0" wp14:anchorId="114C521F" wp14:editId="79FFA4D6">
            <wp:extent cx="5756275" cy="5156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" b="32684"/>
                    <a:stretch/>
                  </pic:blipFill>
                  <pic:spPr bwMode="auto">
                    <a:xfrm>
                      <a:off x="0" y="0"/>
                      <a:ext cx="5762120" cy="516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4CB94" w14:textId="071F7F87" w:rsidR="00546F63" w:rsidRDefault="00546F63" w:rsidP="006A0A6A">
      <w:pPr>
        <w:ind w:left="720"/>
        <w:jc w:val="center"/>
        <w:rPr>
          <w:rFonts w:ascii="Helvetica" w:hAnsi="Helvetica"/>
          <w:color w:val="111111"/>
          <w:shd w:val="clear" w:color="auto" w:fill="F4F4F4"/>
        </w:rPr>
      </w:pPr>
    </w:p>
    <w:p w14:paraId="5E6C16D6" w14:textId="2FA07C4D" w:rsidR="00546F63" w:rsidRDefault="00546F63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br w:type="page"/>
      </w:r>
    </w:p>
    <w:p w14:paraId="3ACD5BE2" w14:textId="4E9EB886" w:rsidR="00B269A6" w:rsidRDefault="00B269A6">
      <w:pPr>
        <w:rPr>
          <w:rFonts w:ascii="Helvetica" w:hAnsi="Helvetica"/>
          <w:color w:val="111111"/>
          <w:shd w:val="clear" w:color="auto" w:fill="F4F4F4"/>
        </w:rPr>
      </w:pPr>
    </w:p>
    <w:p w14:paraId="5DE1DF5D" w14:textId="0EF979B2" w:rsidR="00B269A6" w:rsidRPr="00B269A6" w:rsidRDefault="00B269A6" w:rsidP="00B269A6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t>Here is the estimate of the integration by the Simpso</w:t>
      </w:r>
      <w:r w:rsidR="0079031F">
        <w:rPr>
          <w:rFonts w:ascii="Helvetica" w:hAnsi="Helvetica"/>
          <w:color w:val="111111"/>
          <w:shd w:val="clear" w:color="auto" w:fill="F4F4F4"/>
        </w:rPr>
        <w:t>n’s rule</w:t>
      </w:r>
      <w:r>
        <w:rPr>
          <w:rFonts w:ascii="Helvetica" w:hAnsi="Helvetica"/>
          <w:color w:val="111111"/>
          <w:shd w:val="clear" w:color="auto" w:fill="F4F4F4"/>
        </w:rPr>
        <w:t xml:space="preserve">. </w:t>
      </w:r>
      <w:r w:rsidRPr="00B269A6">
        <w:rPr>
          <w:rFonts w:ascii="Helvetica" w:hAnsi="Helvetica"/>
          <w:color w:val="111111"/>
          <w:shd w:val="clear" w:color="auto" w:fill="F4F4F4"/>
        </w:rPr>
        <w:t>I see no difference in the n=4 or 5 application</w:t>
      </w:r>
      <w:r w:rsidR="0079031F">
        <w:rPr>
          <w:rFonts w:ascii="Helvetica" w:hAnsi="Helvetica"/>
          <w:color w:val="111111"/>
          <w:shd w:val="clear" w:color="auto" w:fill="F4F4F4"/>
        </w:rPr>
        <w:t xml:space="preserve"> in the total error (</w:t>
      </w:r>
      <w:proofErr w:type="spellStart"/>
      <w:r w:rsidR="0079031F">
        <w:rPr>
          <w:rFonts w:ascii="Helvetica" w:hAnsi="Helvetica"/>
          <w:color w:val="111111"/>
          <w:shd w:val="clear" w:color="auto" w:fill="F4F4F4"/>
        </w:rPr>
        <w:t>Etotal</w:t>
      </w:r>
      <w:proofErr w:type="spellEnd"/>
      <w:r w:rsidR="0079031F">
        <w:rPr>
          <w:rFonts w:ascii="Helvetica" w:hAnsi="Helvetica"/>
          <w:color w:val="111111"/>
          <w:shd w:val="clear" w:color="auto" w:fill="F4F4F4"/>
        </w:rPr>
        <w:t>) or estimated of the percent relative error (</w:t>
      </w:r>
      <w:proofErr w:type="spellStart"/>
      <w:r w:rsidR="0079031F">
        <w:rPr>
          <w:rFonts w:ascii="Helvetica" w:hAnsi="Helvetica"/>
          <w:color w:val="111111"/>
          <w:shd w:val="clear" w:color="auto" w:fill="F4F4F4"/>
        </w:rPr>
        <w:t>Ea</w:t>
      </w:r>
      <w:proofErr w:type="spellEnd"/>
      <w:r w:rsidR="0079031F">
        <w:rPr>
          <w:rFonts w:ascii="Helvetica" w:hAnsi="Helvetica"/>
          <w:color w:val="111111"/>
          <w:shd w:val="clear" w:color="auto" w:fill="F4F4F4"/>
        </w:rPr>
        <w:t>).</w:t>
      </w:r>
      <w:r w:rsidR="00945411" w:rsidRPr="00945411">
        <w:rPr>
          <w:rFonts w:ascii="Helvetica" w:hAnsi="Helvetica"/>
          <w:color w:val="111111"/>
          <w:shd w:val="clear" w:color="auto" w:fill="F4F4F4"/>
        </w:rPr>
        <w:t xml:space="preserve"> </w:t>
      </w:r>
      <w:r w:rsidR="00945411" w:rsidRPr="00B269A6">
        <w:rPr>
          <w:rFonts w:ascii="Helvetica" w:hAnsi="Helvetica"/>
          <w:color w:val="111111"/>
          <w:shd w:val="clear" w:color="auto" w:fill="F4F4F4"/>
        </w:rPr>
        <w:t>The calculations are in the excel file in the Simpsons Workspace.</w:t>
      </w:r>
    </w:p>
    <w:p w14:paraId="025FDD8A" w14:textId="77777777" w:rsidR="00546F63" w:rsidRPr="006A0A6A" w:rsidRDefault="00546F63" w:rsidP="006A0A6A">
      <w:pPr>
        <w:ind w:left="720"/>
        <w:jc w:val="center"/>
        <w:rPr>
          <w:rFonts w:ascii="Helvetica" w:hAnsi="Helvetica"/>
          <w:color w:val="111111"/>
          <w:shd w:val="clear" w:color="auto" w:fill="F4F4F4"/>
        </w:rPr>
      </w:pP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1300"/>
        <w:gridCol w:w="1580"/>
        <w:gridCol w:w="60"/>
        <w:gridCol w:w="1240"/>
        <w:gridCol w:w="1300"/>
        <w:gridCol w:w="140"/>
        <w:gridCol w:w="1580"/>
      </w:tblGrid>
      <w:tr w:rsidR="00546F63" w14:paraId="7148DAD9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4EB6" w14:textId="0F99A7D1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BD744F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E386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69F0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D9095C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46F63" w14:paraId="7E95A282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B2A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4D5621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E87C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B53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C1B6FC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546F63" w14:paraId="3A071427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4193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48710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F8F6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A4F2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E0BEDE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46F63" w14:paraId="41FD5A90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FD47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4FDA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4DD7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FD75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4EDE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</w:tr>
      <w:tr w:rsidR="00546F63" w14:paraId="531E4302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DD4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DDA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C3E3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9E14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B1A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</w:tr>
      <w:tr w:rsidR="00546F63" w14:paraId="1CD15528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9744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A0E8FC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1139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CFC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EDB8A4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</w:tr>
      <w:tr w:rsidR="00546F63" w14:paraId="50466021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9063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E9ED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F945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B38B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AF6A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</w:tr>
      <w:tr w:rsidR="00546F63" w14:paraId="42F47D71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BE1C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A41622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F(x) = (4x-</w:t>
            </w:r>
            <w:proofErr w:type="gramStart"/>
            <w:r>
              <w:rPr>
                <w:rFonts w:ascii="Calibri" w:hAnsi="Calibri" w:cs="Calibri"/>
                <w:color w:val="000000"/>
              </w:rPr>
              <w:t>3)^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E7A6" w14:textId="77777777" w:rsidR="00546F63" w:rsidRDefault="00546F6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838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85228D0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F(x) = (4x-</w:t>
            </w:r>
            <w:proofErr w:type="gramStart"/>
            <w:r>
              <w:rPr>
                <w:rFonts w:ascii="Calibri" w:hAnsi="Calibri" w:cs="Calibri"/>
                <w:color w:val="000000"/>
              </w:rPr>
              <w:t>3)^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46F63" w14:paraId="0AD7A669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35A3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7F8309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B6C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FF31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86D649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-3375</w:t>
            </w:r>
          </w:p>
        </w:tc>
      </w:tr>
      <w:tr w:rsidR="00546F63" w14:paraId="4CF7173E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AF3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DAA6744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66B5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00C6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BF8FA9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-636.056</w:t>
            </w:r>
          </w:p>
        </w:tc>
      </w:tr>
      <w:tr w:rsidR="00546F63" w14:paraId="5797DB92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7EF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E6B851B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2471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CF68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A97FC7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-10.648</w:t>
            </w:r>
          </w:p>
        </w:tc>
      </w:tr>
      <w:tr w:rsidR="00546F63" w14:paraId="195CCC69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478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F8F26B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900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9E95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B57BD7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74.088</w:t>
            </w:r>
          </w:p>
        </w:tc>
      </w:tr>
      <w:tr w:rsidR="00546F63" w14:paraId="27C75783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1C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0BDFE27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FF5A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E9B9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8649BA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1191.016</w:t>
            </w:r>
          </w:p>
        </w:tc>
      </w:tr>
      <w:tr w:rsidR="00546F63" w14:paraId="19B7A3FD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087F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3B1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6F93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5609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4D56605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4913</w:t>
            </w:r>
          </w:p>
        </w:tc>
      </w:tr>
      <w:tr w:rsidR="00546F63" w14:paraId="524A2015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00B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F323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7F2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8DC6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BD1F" w14:textId="77777777" w:rsidR="00546F63" w:rsidRDefault="00546F63" w:rsidP="00546F63">
            <w:pPr>
              <w:jc w:val="center"/>
              <w:rPr>
                <w:sz w:val="20"/>
                <w:szCs w:val="20"/>
              </w:rPr>
            </w:pPr>
          </w:p>
        </w:tc>
      </w:tr>
      <w:tr w:rsidR="00546F63" w14:paraId="30B2D08A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ACF6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A0F8FE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CE6A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88F1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I1-3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1D7233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-3162.5984</w:t>
            </w:r>
          </w:p>
        </w:tc>
      </w:tr>
      <w:tr w:rsidR="00546F63" w14:paraId="07276850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18F2" w14:textId="2BDF8ECD" w:rsidR="00546F63" w:rsidRDefault="0079031F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Analytical Calculation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84DB72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94F4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4E1A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I3-5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47EFFC8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5218.5984</w:t>
            </w:r>
          </w:p>
        </w:tc>
      </w:tr>
      <w:tr w:rsidR="00546F63" w14:paraId="0EDB9677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7193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Etotal</w:t>
            </w:r>
            <w:proofErr w:type="spellEnd"/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3D4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9B65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4371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C31000B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</w:tr>
      <w:tr w:rsidR="00546F63" w14:paraId="1BC912CB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1F5C" w14:textId="1280D09C" w:rsidR="00546F63" w:rsidRDefault="0079031F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Ea</w:t>
            </w:r>
            <w:proofErr w:type="spellEnd"/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D4E1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8803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D7D8" w14:textId="07EA979A" w:rsidR="00546F63" w:rsidRDefault="0079031F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Analytical Calculation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8963DD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</w:tr>
      <w:tr w:rsidR="00546F63" w14:paraId="0357EEE1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B2D1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B0D4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1A3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BAA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Etotal</w:t>
            </w:r>
            <w:proofErr w:type="spellEnd"/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1476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46F63" w14:paraId="5F652027" w14:textId="77777777" w:rsidTr="00546F63">
        <w:trPr>
          <w:trHeight w:val="320"/>
          <w:jc w:val="center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D287" w14:textId="77777777" w:rsidR="00546F63" w:rsidRDefault="00546F6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65FF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97E" w14:textId="77777777" w:rsidR="00546F63" w:rsidRDefault="00546F63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3201" w14:textId="14B5A20F" w:rsidR="00546F63" w:rsidRDefault="0079031F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4927" w14:textId="77777777" w:rsidR="00546F63" w:rsidRDefault="00546F63" w:rsidP="00546F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</w:tbl>
    <w:p w14:paraId="1F0740B8" w14:textId="77777777" w:rsidR="00546F63" w:rsidRDefault="00546F63" w:rsidP="006A0A6A">
      <w:pPr>
        <w:pStyle w:val="ListParagraph"/>
        <w:rPr>
          <w:rFonts w:ascii="Helvetica" w:eastAsia="Times New Roman" w:hAnsi="Helvetica" w:cs="Times New Roman"/>
          <w:color w:val="111111"/>
          <w:shd w:val="clear" w:color="auto" w:fill="F4F4F4"/>
        </w:rPr>
      </w:pPr>
    </w:p>
    <w:p w14:paraId="2A562460" w14:textId="075DAE23" w:rsidR="00850347" w:rsidRDefault="00850347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br w:type="page"/>
      </w:r>
    </w:p>
    <w:p w14:paraId="2FEE34C8" w14:textId="77777777" w:rsidR="00546F63" w:rsidRPr="00850347" w:rsidRDefault="00546F63" w:rsidP="00850347">
      <w:pPr>
        <w:rPr>
          <w:rFonts w:ascii="Helvetica" w:hAnsi="Helvetica"/>
          <w:color w:val="111111"/>
          <w:shd w:val="clear" w:color="auto" w:fill="F4F4F4"/>
        </w:rPr>
      </w:pPr>
    </w:p>
    <w:p w14:paraId="6BCE9C51" w14:textId="77777777" w:rsidR="00961899" w:rsidRDefault="00AC7493" w:rsidP="006A0A6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AC749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In addition, </w:t>
      </w:r>
    </w:p>
    <w:p w14:paraId="3BE0DEA8" w14:textId="5F7E1711" w:rsidR="00961899" w:rsidRDefault="00AC7493" w:rsidP="00961899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AC749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(a) compute integral using trapezoidal rule (n=5); </w:t>
      </w:r>
    </w:p>
    <w:p w14:paraId="696016A0" w14:textId="521E0F3B" w:rsidR="00E07EB9" w:rsidRPr="00E07EB9" w:rsidRDefault="00E07EB9" w:rsidP="00E07EB9">
      <w:pPr>
        <w:pStyle w:val="ListParagraph"/>
        <w:rPr>
          <w:rFonts w:ascii="Helvetica" w:eastAsia="Times New Roman" w:hAnsi="Helvetica" w:cs="Times New Roman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t xml:space="preserve">The estimate of the Integration using the trapezoidal rule with five segments has an </w:t>
      </w:r>
      <w:r w:rsidRPr="00E07EB9">
        <w:rPr>
          <w:rFonts w:ascii="Helvetica" w:hAnsi="Helvetica"/>
          <w:color w:val="111111"/>
          <w:shd w:val="clear" w:color="auto" w:fill="F4F4F4"/>
        </w:rPr>
        <w:t>estimated of the percent relative error (</w:t>
      </w:r>
      <w:proofErr w:type="spellStart"/>
      <w:r w:rsidRPr="00E07EB9">
        <w:rPr>
          <w:rFonts w:ascii="Helvetica" w:hAnsi="Helvetica"/>
          <w:color w:val="111111"/>
          <w:shd w:val="clear" w:color="auto" w:fill="F4F4F4"/>
        </w:rPr>
        <w:t>Ea</w:t>
      </w:r>
      <w:proofErr w:type="spellEnd"/>
      <w:r w:rsidRPr="00E07EB9">
        <w:rPr>
          <w:rFonts w:ascii="Helvetica" w:hAnsi="Helvetica"/>
          <w:color w:val="111111"/>
          <w:shd w:val="clear" w:color="auto" w:fill="F4F4F4"/>
        </w:rPr>
        <w:t>)</w:t>
      </w:r>
      <w:r>
        <w:rPr>
          <w:rFonts w:ascii="Helvetica" w:hAnsi="Helvetica"/>
          <w:color w:val="111111"/>
          <w:shd w:val="clear" w:color="auto" w:fill="F4F4F4"/>
        </w:rPr>
        <w:t xml:space="preserve"> of 8%</w:t>
      </w:r>
      <w:r w:rsidRPr="00E07EB9">
        <w:rPr>
          <w:rFonts w:ascii="Helvetica" w:hAnsi="Helvetica"/>
          <w:color w:val="111111"/>
          <w:shd w:val="clear" w:color="auto" w:fill="F4F4F4"/>
        </w:rPr>
        <w:t xml:space="preserve">. </w:t>
      </w:r>
      <w:r w:rsidRPr="00E07EB9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The calculations are in the excel file in the </w:t>
      </w:r>
      <w:r>
        <w:rPr>
          <w:rFonts w:ascii="Helvetica" w:eastAsia="Times New Roman" w:hAnsi="Helvetica" w:cs="Times New Roman"/>
          <w:color w:val="111111"/>
          <w:shd w:val="clear" w:color="auto" w:fill="F4F4F4"/>
        </w:rPr>
        <w:t>Trapezoidal Rule</w:t>
      </w:r>
      <w:r w:rsidRPr="00E07EB9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 Workspace.</w:t>
      </w:r>
    </w:p>
    <w:p w14:paraId="0347E356" w14:textId="77777777" w:rsidR="00E07EB9" w:rsidRPr="00E07EB9" w:rsidRDefault="00E07EB9" w:rsidP="00E07EB9">
      <w:pPr>
        <w:rPr>
          <w:rFonts w:ascii="Helvetica" w:hAnsi="Helvetica"/>
          <w:color w:val="111111"/>
          <w:shd w:val="clear" w:color="auto" w:fill="F4F4F4"/>
        </w:rPr>
      </w:pPr>
    </w:p>
    <w:tbl>
      <w:tblPr>
        <w:tblW w:w="6158" w:type="dxa"/>
        <w:jc w:val="center"/>
        <w:tblLook w:val="04A0" w:firstRow="1" w:lastRow="0" w:firstColumn="1" w:lastColumn="0" w:noHBand="0" w:noVBand="1"/>
      </w:tblPr>
      <w:tblGrid>
        <w:gridCol w:w="1300"/>
        <w:gridCol w:w="1665"/>
        <w:gridCol w:w="1178"/>
        <w:gridCol w:w="2100"/>
      </w:tblGrid>
      <w:tr w:rsidR="00850347" w14:paraId="1756CE12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8CBE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0A468B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FD16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36D8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492A0A53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3498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EAA3ED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CEB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37A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75DC0660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E52C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96ACB7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B954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A4FB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0D801D1B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7ED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28FD5C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626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8FDE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5FA47460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460A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0AE12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2CA78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E46F1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00DF87F3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6523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61B687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F(x) = (4x-</w:t>
            </w:r>
            <w:proofErr w:type="gramStart"/>
            <w:r>
              <w:rPr>
                <w:rFonts w:ascii="Calibri" w:hAnsi="Calibri" w:cs="Calibri"/>
                <w:color w:val="000000"/>
              </w:rPr>
              <w:t>3)^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A3FF1A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Multiplier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9323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for the sum</w:t>
            </w:r>
          </w:p>
        </w:tc>
      </w:tr>
      <w:tr w:rsidR="00850347" w14:paraId="5A69A744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2DC7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3BDD1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-3375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9ECB96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F50911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-3375</w:t>
            </w:r>
          </w:p>
        </w:tc>
      </w:tr>
      <w:tr w:rsidR="00850347" w14:paraId="478AE620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D098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49187A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-636.056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3D088B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7D78A9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-1272.112</w:t>
            </w:r>
          </w:p>
        </w:tc>
      </w:tr>
      <w:tr w:rsidR="00850347" w14:paraId="01130839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47D8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F00AB9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-10.648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D85292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E46C14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-21.296</w:t>
            </w:r>
          </w:p>
        </w:tc>
      </w:tr>
      <w:tr w:rsidR="00850347" w14:paraId="5643883C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14B9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3AE8E1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74.088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04E5B7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ED7F8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148.176</w:t>
            </w:r>
          </w:p>
        </w:tc>
      </w:tr>
      <w:tr w:rsidR="00850347" w14:paraId="1D07B407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463A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691682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1191.016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914162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86235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2382.032</w:t>
            </w:r>
          </w:p>
        </w:tc>
      </w:tr>
      <w:tr w:rsidR="00850347" w14:paraId="4E8AD2F3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314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BE6B7E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2EA9D3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35D073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4913</w:t>
            </w:r>
          </w:p>
        </w:tc>
      </w:tr>
      <w:tr w:rsidR="00850347" w14:paraId="2E676EAD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81D4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7BC8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725C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0510F0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2774.8</w:t>
            </w:r>
          </w:p>
        </w:tc>
      </w:tr>
      <w:tr w:rsidR="00850347" w14:paraId="1ADF8B5C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B21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72FD9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2219.84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507B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3E73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795C57BA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0A23" w14:textId="44054D8D" w:rsidR="00850347" w:rsidRDefault="00ED1FAD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Analytical Calculation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7B9FA8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B9AF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D9D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5B1453B1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78F9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Etotal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93D2C7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-163.84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12D5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367E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  <w:tr w:rsidR="00850347" w14:paraId="0F2991BF" w14:textId="77777777" w:rsidTr="00E07EB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97ED" w14:textId="065D5D2E" w:rsidR="00850347" w:rsidRDefault="00ED1FAD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Ea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6024C8" w14:textId="0FD53ED1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E3A6" w14:textId="77777777" w:rsidR="00850347" w:rsidRDefault="00850347" w:rsidP="00E07EB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2CB9" w14:textId="77777777" w:rsidR="00850347" w:rsidRDefault="00850347" w:rsidP="00E07EB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F62C6E4" w14:textId="7B970822" w:rsidR="008E6259" w:rsidRDefault="008E6259" w:rsidP="00850347">
      <w:pPr>
        <w:rPr>
          <w:rFonts w:ascii="Helvetica" w:hAnsi="Helvetica"/>
          <w:color w:val="111111"/>
          <w:shd w:val="clear" w:color="auto" w:fill="F4F4F4"/>
        </w:rPr>
      </w:pPr>
    </w:p>
    <w:p w14:paraId="6C1FFE01" w14:textId="77777777" w:rsidR="008E6259" w:rsidRDefault="008E6259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br w:type="page"/>
      </w:r>
    </w:p>
    <w:p w14:paraId="504B80BF" w14:textId="77777777" w:rsidR="00850347" w:rsidRPr="00850347" w:rsidRDefault="00850347" w:rsidP="00850347">
      <w:pPr>
        <w:rPr>
          <w:rFonts w:ascii="Helvetica" w:hAnsi="Helvetica"/>
          <w:color w:val="111111"/>
          <w:shd w:val="clear" w:color="auto" w:fill="F4F4F4"/>
        </w:rPr>
      </w:pPr>
    </w:p>
    <w:p w14:paraId="4593417A" w14:textId="0E6CD13F" w:rsidR="00961899" w:rsidRDefault="00AC7493" w:rsidP="00961899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AC7493">
        <w:rPr>
          <w:rFonts w:ascii="Helvetica" w:eastAsia="Times New Roman" w:hAnsi="Helvetica" w:cs="Times New Roman"/>
          <w:color w:val="111111"/>
          <w:shd w:val="clear" w:color="auto" w:fill="F4F4F4"/>
        </w:rPr>
        <w:t xml:space="preserve">(b) compute integral using Romberg integration (n1=5, n2=10); </w:t>
      </w:r>
    </w:p>
    <w:p w14:paraId="0142DDE3" w14:textId="6B8F3D8E" w:rsidR="008E6259" w:rsidRDefault="008E6259" w:rsidP="008E6259">
      <w:pPr>
        <w:rPr>
          <w:rFonts w:ascii="Helvetica" w:hAnsi="Helvetica"/>
          <w:color w:val="111111"/>
          <w:shd w:val="clear" w:color="auto" w:fill="F4F4F4"/>
        </w:rPr>
      </w:pPr>
      <w:r w:rsidRPr="008E6259">
        <w:rPr>
          <w:rFonts w:ascii="Helvetica" w:hAnsi="Helvetica"/>
          <w:color w:val="111111"/>
          <w:shd w:val="clear" w:color="auto" w:fill="F4F4F4"/>
        </w:rPr>
        <w:t xml:space="preserve">The </w:t>
      </w:r>
      <w:r w:rsidR="00CC4C7C">
        <w:rPr>
          <w:rFonts w:ascii="Helvetica" w:hAnsi="Helvetica"/>
          <w:color w:val="111111"/>
          <w:shd w:val="clear" w:color="auto" w:fill="F4F4F4"/>
        </w:rPr>
        <w:t xml:space="preserve">table below shows the </w:t>
      </w:r>
      <w:r w:rsidRPr="008E6259">
        <w:rPr>
          <w:rFonts w:ascii="Helvetica" w:hAnsi="Helvetica"/>
          <w:color w:val="111111"/>
          <w:shd w:val="clear" w:color="auto" w:fill="F4F4F4"/>
        </w:rPr>
        <w:t>estima</w:t>
      </w:r>
      <w:r w:rsidR="00CC4C7C">
        <w:rPr>
          <w:rFonts w:ascii="Helvetica" w:hAnsi="Helvetica"/>
          <w:color w:val="111111"/>
          <w:shd w:val="clear" w:color="auto" w:fill="F4F4F4"/>
        </w:rPr>
        <w:t>t</w:t>
      </w:r>
      <w:r w:rsidRPr="008E6259">
        <w:rPr>
          <w:rFonts w:ascii="Helvetica" w:hAnsi="Helvetica"/>
          <w:color w:val="111111"/>
          <w:shd w:val="clear" w:color="auto" w:fill="F4F4F4"/>
        </w:rPr>
        <w:t>e</w:t>
      </w:r>
      <w:r w:rsidR="00CC4C7C">
        <w:rPr>
          <w:rFonts w:ascii="Helvetica" w:hAnsi="Helvetica"/>
          <w:color w:val="111111"/>
          <w:shd w:val="clear" w:color="auto" w:fill="F4F4F4"/>
        </w:rPr>
        <w:t>s</w:t>
      </w:r>
      <w:r w:rsidRPr="008E6259">
        <w:rPr>
          <w:rFonts w:ascii="Helvetica" w:hAnsi="Helvetica"/>
          <w:color w:val="111111"/>
          <w:shd w:val="clear" w:color="auto" w:fill="F4F4F4"/>
        </w:rPr>
        <w:t xml:space="preserve"> of the Integration using </w:t>
      </w:r>
      <w:r w:rsidR="00CC4C7C" w:rsidRPr="00AC7493">
        <w:rPr>
          <w:rFonts w:ascii="Helvetica" w:hAnsi="Helvetica"/>
          <w:color w:val="111111"/>
          <w:shd w:val="clear" w:color="auto" w:fill="F4F4F4"/>
        </w:rPr>
        <w:t xml:space="preserve">Romberg integration </w:t>
      </w:r>
      <w:r w:rsidRPr="008E6259">
        <w:rPr>
          <w:rFonts w:ascii="Helvetica" w:hAnsi="Helvetica"/>
          <w:color w:val="111111"/>
          <w:shd w:val="clear" w:color="auto" w:fill="F4F4F4"/>
        </w:rPr>
        <w:t xml:space="preserve">with </w:t>
      </w:r>
      <w:r w:rsidR="00CC4C7C">
        <w:rPr>
          <w:rFonts w:ascii="Helvetica" w:hAnsi="Helvetica"/>
          <w:color w:val="111111"/>
          <w:shd w:val="clear" w:color="auto" w:fill="F4F4F4"/>
        </w:rPr>
        <w:t>multiple</w:t>
      </w:r>
      <w:r w:rsidRPr="008E6259">
        <w:rPr>
          <w:rFonts w:ascii="Helvetica" w:hAnsi="Helvetica"/>
          <w:color w:val="111111"/>
          <w:shd w:val="clear" w:color="auto" w:fill="F4F4F4"/>
        </w:rPr>
        <w:t xml:space="preserve"> segments</w:t>
      </w:r>
      <w:r w:rsidR="00CC4C7C">
        <w:rPr>
          <w:rFonts w:ascii="Helvetica" w:hAnsi="Helvetica"/>
          <w:color w:val="111111"/>
          <w:shd w:val="clear" w:color="auto" w:fill="F4F4F4"/>
        </w:rPr>
        <w:t xml:space="preserve"> and up to 10 iterations</w:t>
      </w:r>
      <w:r w:rsidRPr="008E6259">
        <w:rPr>
          <w:rFonts w:ascii="Helvetica" w:hAnsi="Helvetica"/>
          <w:color w:val="111111"/>
          <w:shd w:val="clear" w:color="auto" w:fill="F4F4F4"/>
        </w:rPr>
        <w:t xml:space="preserve">. The calculations are in the excel file in the </w:t>
      </w:r>
      <w:r w:rsidR="00CC4C7C" w:rsidRPr="00AC7493">
        <w:rPr>
          <w:rFonts w:ascii="Helvetica" w:hAnsi="Helvetica"/>
          <w:color w:val="111111"/>
          <w:shd w:val="clear" w:color="auto" w:fill="F4F4F4"/>
        </w:rPr>
        <w:t xml:space="preserve">Romberg integration </w:t>
      </w:r>
      <w:r w:rsidRPr="008E6259">
        <w:rPr>
          <w:rFonts w:ascii="Helvetica" w:hAnsi="Helvetica"/>
          <w:color w:val="111111"/>
          <w:shd w:val="clear" w:color="auto" w:fill="F4F4F4"/>
        </w:rPr>
        <w:t>Workspace.</w:t>
      </w:r>
    </w:p>
    <w:p w14:paraId="68314254" w14:textId="77777777" w:rsidR="00CC4C7C" w:rsidRPr="008E6259" w:rsidRDefault="00CC4C7C" w:rsidP="008E6259">
      <w:pPr>
        <w:rPr>
          <w:rFonts w:ascii="Helvetica" w:hAnsi="Helvetica"/>
          <w:color w:val="111111"/>
          <w:shd w:val="clear" w:color="auto" w:fill="F4F4F4"/>
        </w:rPr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1460"/>
        <w:gridCol w:w="1493"/>
        <w:gridCol w:w="149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 w:rsidR="008E6259" w:rsidRPr="008E6259" w14:paraId="0B47E22F" w14:textId="77777777" w:rsidTr="00CF40E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671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Integration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B895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E33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08C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6753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BB5D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AF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703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5CD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C66E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433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E6259" w:rsidRPr="008E6259" w14:paraId="6F1DE9DF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2B4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9EC34F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6152.000000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691C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E8A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60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98D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31F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C3F8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E8D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C84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B50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7D78EF10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FFA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14:paraId="06D99C63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3080.000000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55138F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1BA4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6076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485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F14C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B339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578A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2E0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E910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3C81B04B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3A5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vAlign w:val="bottom"/>
            <w:hideMark/>
          </w:tcPr>
          <w:p w14:paraId="5663DDD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2312.000000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04396E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C018638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EBC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964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9F6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DF60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3F1D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2230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5F95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75A86246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CE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14:paraId="17DDDE9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2120.000000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B09E9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3C1FED8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45A9071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0F13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2571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3C3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CD7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2780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3356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4902C1AA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172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n=16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EB93460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2072.000000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21B1998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4B1CA70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3B00BF1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3C713E9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B91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AE2E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0555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7A01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FF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6F372A9F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73AC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n=32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37E49F5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2060.000000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EE7DF8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076CEE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8EC48BD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BAF45D1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E161D85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52C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7A5C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6DF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F5D7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442BC6FF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F6CC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n=64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C8AAC4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2057.000000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EFFF429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C46B6F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FE5F51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3F9ACD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C6849EA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7E8440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529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9936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AC39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62FDC23C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F8A1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n=128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1B82A15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2056.250000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1332931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2C0142C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DD2878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0A5C13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1F3761D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4070369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C1ABAE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B92A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5A66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67DCEFC7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6711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n=256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2ABC6E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2056.062500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2FA499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6E5C5C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7E13C4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6D37471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92719C6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C148B2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B2C6424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0A794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FF45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E6259" w:rsidRPr="008E6259" w14:paraId="70747A52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8CD9" w14:textId="77777777" w:rsidR="008E6259" w:rsidRPr="008E6259" w:rsidRDefault="008E6259" w:rsidP="008E6259">
            <w:pPr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n=512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B13155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2056.015625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272A90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2056.000000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7989C60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4B3BBFB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E3F735D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3396ED5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D5DB620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F20ADCF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3B8C347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22855E8" w14:textId="77777777" w:rsidR="008E6259" w:rsidRPr="008E6259" w:rsidRDefault="008E6259" w:rsidP="008E6259">
            <w:pPr>
              <w:jc w:val="right"/>
              <w:rPr>
                <w:rFonts w:ascii="Calibri" w:hAnsi="Calibri" w:cs="Calibri"/>
                <w:color w:val="000000"/>
              </w:rPr>
            </w:pPr>
            <w:r w:rsidRPr="008E6259">
              <w:rPr>
                <w:rFonts w:ascii="Calibri" w:hAnsi="Calibri" w:cs="Calibri"/>
                <w:color w:val="000000"/>
              </w:rPr>
              <w:t>2056</w:t>
            </w:r>
          </w:p>
        </w:tc>
      </w:tr>
    </w:tbl>
    <w:p w14:paraId="7FA4042C" w14:textId="476F6F36" w:rsidR="008E6259" w:rsidRDefault="008E6259" w:rsidP="008E6259">
      <w:pPr>
        <w:rPr>
          <w:rFonts w:ascii="Helvetica" w:hAnsi="Helvetica"/>
          <w:color w:val="111111"/>
          <w:shd w:val="clear" w:color="auto" w:fill="F4F4F4"/>
        </w:rPr>
      </w:pPr>
    </w:p>
    <w:p w14:paraId="190A4C54" w14:textId="3AADEBD6" w:rsidR="00CF40E1" w:rsidRDefault="00CF40E1" w:rsidP="008E6259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t xml:space="preserve">Here is a table of the </w:t>
      </w:r>
      <w:r w:rsidRPr="00E07EB9">
        <w:rPr>
          <w:rFonts w:ascii="Helvetica" w:hAnsi="Helvetica"/>
          <w:color w:val="111111"/>
          <w:shd w:val="clear" w:color="auto" w:fill="F4F4F4"/>
        </w:rPr>
        <w:t>estimated of the percent relative error (</w:t>
      </w:r>
      <w:proofErr w:type="spellStart"/>
      <w:r w:rsidRPr="00E07EB9">
        <w:rPr>
          <w:rFonts w:ascii="Helvetica" w:hAnsi="Helvetica"/>
          <w:color w:val="111111"/>
          <w:shd w:val="clear" w:color="auto" w:fill="F4F4F4"/>
        </w:rPr>
        <w:t>Ea</w:t>
      </w:r>
      <w:proofErr w:type="spellEnd"/>
      <w:r w:rsidRPr="00E07EB9">
        <w:rPr>
          <w:rFonts w:ascii="Helvetica" w:hAnsi="Helvetica"/>
          <w:color w:val="111111"/>
          <w:shd w:val="clear" w:color="auto" w:fill="F4F4F4"/>
        </w:rPr>
        <w:t>)</w:t>
      </w:r>
      <w:r>
        <w:rPr>
          <w:rFonts w:ascii="Helvetica" w:hAnsi="Helvetica"/>
          <w:color w:val="111111"/>
          <w:shd w:val="clear" w:color="auto" w:fill="F4F4F4"/>
        </w:rPr>
        <w:t xml:space="preserve"> </w:t>
      </w:r>
      <w:r w:rsidR="0047713B">
        <w:rPr>
          <w:rFonts w:ascii="Helvetica" w:hAnsi="Helvetica"/>
          <w:color w:val="111111"/>
          <w:shd w:val="clear" w:color="auto" w:fill="F4F4F4"/>
        </w:rPr>
        <w:t xml:space="preserve">for each iteration. The Romberg iteration minimized the error with one iteration of the estimated with two trapezoid segments. A two trapezoid Romberg integration is much more computational economical and has lower error than doing a 512-trapezoid estimate or equivalent to a 4-trapezoid with 1 integration.  </w:t>
      </w:r>
    </w:p>
    <w:p w14:paraId="2A9B1C42" w14:textId="77777777" w:rsidR="00CF40E1" w:rsidRDefault="00CF40E1" w:rsidP="008E6259">
      <w:pPr>
        <w:rPr>
          <w:rFonts w:ascii="Helvetica" w:hAnsi="Helvetica"/>
          <w:color w:val="111111"/>
          <w:shd w:val="clear" w:color="auto" w:fill="F4F4F4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460"/>
        <w:gridCol w:w="1178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CF40E1" w:rsidRPr="00CF40E1" w14:paraId="19FC7C56" w14:textId="77777777" w:rsidTr="00CF40E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7065" w14:textId="649E8042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9CDF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EA1C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F881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5FE2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0D9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EF7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813F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1FA2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6A36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63B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4CB7C8DE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B7B4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5A61A4F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199.222%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F8B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E1F9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BE3D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E727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9777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7C7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EDAF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2BE3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9116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2914B2DC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B840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14:paraId="742653A7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49.805%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D6416CA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3D9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AD96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2444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1733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D8D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9DB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B872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904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2CFA0130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64B0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vAlign w:val="bottom"/>
            <w:hideMark/>
          </w:tcPr>
          <w:p w14:paraId="1B096159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12.451%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1E849A7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75E7FF5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B03F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3D5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5EB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7529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8833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F25A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6121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46E6444A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4BE2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14:paraId="08C7CE7C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3.113%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449130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26D0024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AAB28E4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511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689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F294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E312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213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6FCA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4EAB16CB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B5A9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A03C1A6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0.778%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D28F26B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6E8C90B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B755A1F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00F6121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113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7034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5316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1E73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091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72DB26EC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3640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1ABFA2F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0.195%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DA9BB1D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37BF971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61D167B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4F42986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5E9E666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C67A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ED9E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A22F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D279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0063F6AA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2A10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C678B3D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B55A4CA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F9F9627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850158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357DC0D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CA1B51D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2AE03E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BEF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ED2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1928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4A454151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9726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n=128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98559E8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BD6FDF8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1D9D33C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C896ADB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ED52706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2471EB8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D725755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68D0D3A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5080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DA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6D40BDC5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A31B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n=256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A69251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EC1AF5D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77156DA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21DE1C1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F6A8CF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5AFCAFC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40AEFCE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9E658A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AA1F59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665C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F40E1" w:rsidRPr="00CF40E1" w14:paraId="5D356F80" w14:textId="77777777" w:rsidTr="00CF40E1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336A" w14:textId="77777777" w:rsidR="00CF40E1" w:rsidRPr="00CF40E1" w:rsidRDefault="00CF40E1" w:rsidP="00CF40E1">
            <w:pPr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n=512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06A454B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7F13BA4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C89E3E9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0F9399C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423F8F4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31275F7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6446FF4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A87BAB6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4128E23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E3D37F" w14:textId="77777777" w:rsidR="00CF40E1" w:rsidRPr="00CF40E1" w:rsidRDefault="00CF40E1" w:rsidP="00CF40E1">
            <w:pPr>
              <w:jc w:val="right"/>
              <w:rPr>
                <w:rFonts w:ascii="Calibri" w:hAnsi="Calibri" w:cs="Calibri"/>
                <w:color w:val="000000"/>
              </w:rPr>
            </w:pPr>
            <w:r w:rsidRPr="00CF40E1">
              <w:rPr>
                <w:rFonts w:ascii="Calibri" w:hAnsi="Calibri" w:cs="Calibri"/>
                <w:color w:val="000000"/>
              </w:rPr>
              <w:t>0.0%</w:t>
            </w:r>
          </w:p>
        </w:tc>
      </w:tr>
    </w:tbl>
    <w:p w14:paraId="3B45403D" w14:textId="77777777" w:rsidR="00CF40E1" w:rsidRPr="008E6259" w:rsidRDefault="00CF40E1" w:rsidP="008E6259">
      <w:pPr>
        <w:rPr>
          <w:rFonts w:ascii="Helvetica" w:hAnsi="Helvetica"/>
          <w:color w:val="111111"/>
          <w:shd w:val="clear" w:color="auto" w:fill="F4F4F4"/>
        </w:rPr>
      </w:pPr>
    </w:p>
    <w:p w14:paraId="7710F09E" w14:textId="3CCAA7C7" w:rsidR="00AC7493" w:rsidRDefault="00AC7493" w:rsidP="00961899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color w:val="111111"/>
          <w:shd w:val="clear" w:color="auto" w:fill="F4F4F4"/>
        </w:rPr>
      </w:pPr>
      <w:r w:rsidRPr="00AC7493">
        <w:rPr>
          <w:rFonts w:ascii="Helvetica" w:eastAsia="Times New Roman" w:hAnsi="Helvetica" w:cs="Times New Roman"/>
          <w:color w:val="111111"/>
          <w:shd w:val="clear" w:color="auto" w:fill="F4F4F4"/>
        </w:rPr>
        <w:t>(c) compare numerical results with analytical integration.</w:t>
      </w:r>
    </w:p>
    <w:p w14:paraId="109FB268" w14:textId="1E92CF38" w:rsidR="00546F63" w:rsidRDefault="006375C0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t xml:space="preserve">Again, the Simpson estimations were very effective for the function provided. Trapezoid </w:t>
      </w:r>
      <w:r w:rsidR="005D75E4">
        <w:rPr>
          <w:rFonts w:ascii="Helvetica" w:hAnsi="Helvetica"/>
          <w:color w:val="111111"/>
          <w:shd w:val="clear" w:color="auto" w:fill="F4F4F4"/>
        </w:rPr>
        <w:t xml:space="preserve">integration with 16-segments approximated the analytical solution with an error bellow 1%. There is a great computational cost in increasing the number of segments for the trapezoidal integration. </w:t>
      </w:r>
      <w:r w:rsidR="005D75E4">
        <w:rPr>
          <w:rFonts w:ascii="Helvetica" w:hAnsi="Helvetica"/>
          <w:color w:val="111111"/>
          <w:shd w:val="clear" w:color="auto" w:fill="F4F4F4"/>
        </w:rPr>
        <w:t>The Romberg iteration</w:t>
      </w:r>
      <w:r w:rsidR="005D75E4">
        <w:rPr>
          <w:rFonts w:ascii="Helvetica" w:hAnsi="Helvetica"/>
          <w:color w:val="111111"/>
          <w:shd w:val="clear" w:color="auto" w:fill="F4F4F4"/>
        </w:rPr>
        <w:t xml:space="preserve"> produced a result identical to the analytical solution with minimal iterations. </w:t>
      </w:r>
    </w:p>
    <w:p w14:paraId="01244B6C" w14:textId="686E2AED" w:rsidR="005D75E4" w:rsidRDefault="005D75E4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color w:val="111111"/>
          <w:shd w:val="clear" w:color="auto" w:fill="F4F4F4"/>
        </w:rPr>
        <w:br w:type="page"/>
      </w:r>
    </w:p>
    <w:p w14:paraId="4385AC65" w14:textId="77777777" w:rsidR="00961899" w:rsidRPr="005D75E4" w:rsidRDefault="00961899" w:rsidP="005D75E4">
      <w:pPr>
        <w:rPr>
          <w:rFonts w:ascii="Helvetica" w:hAnsi="Helvetica"/>
          <w:color w:val="111111"/>
          <w:shd w:val="clear" w:color="auto" w:fill="F4F4F4"/>
        </w:rPr>
      </w:pPr>
    </w:p>
    <w:p w14:paraId="66D1FCDC" w14:textId="2F36CC44" w:rsidR="00961899" w:rsidRDefault="00961899" w:rsidP="00961899">
      <w:pPr>
        <w:numPr>
          <w:ilvl w:val="0"/>
          <w:numId w:val="4"/>
        </w:numPr>
        <w:rPr>
          <w:rFonts w:ascii="Helvetica" w:hAnsi="Helvetica"/>
          <w:color w:val="111111"/>
          <w:shd w:val="clear" w:color="auto" w:fill="F4F4F4"/>
        </w:rPr>
      </w:pPr>
      <w:r w:rsidRPr="00AC7493">
        <w:rPr>
          <w:rFonts w:ascii="Helvetica" w:hAnsi="Helvetica"/>
          <w:color w:val="111111"/>
          <w:shd w:val="clear" w:color="auto" w:fill="F4F4F4"/>
        </w:rPr>
        <w:t>Compute the integral for the 3rd order interpolating polynomial from the derivation of 1/3 Simpson method done in the class. </w:t>
      </w:r>
    </w:p>
    <w:p w14:paraId="6447141C" w14:textId="514C690A" w:rsidR="00B8008F" w:rsidRPr="00AC7493" w:rsidRDefault="00B8008F" w:rsidP="00B8008F">
      <w:pPr>
        <w:ind w:left="720"/>
        <w:jc w:val="center"/>
        <w:rPr>
          <w:rFonts w:ascii="Helvetica" w:hAnsi="Helvetica"/>
          <w:color w:val="111111"/>
          <w:shd w:val="clear" w:color="auto" w:fill="F4F4F4"/>
        </w:rPr>
      </w:pPr>
      <w:r w:rsidRPr="00B8008F">
        <w:rPr>
          <w:rFonts w:ascii="Helvetica" w:hAnsi="Helvetica"/>
          <w:noProof/>
          <w:color w:val="111111"/>
          <w:shd w:val="clear" w:color="auto" w:fill="F4F4F4"/>
        </w:rPr>
        <w:drawing>
          <wp:inline distT="0" distB="0" distL="0" distR="0" wp14:anchorId="149807EA" wp14:editId="433F795E">
            <wp:extent cx="2959735" cy="14847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390" cy="14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8D7" w14:textId="5AB03109" w:rsidR="00AC7493" w:rsidRPr="00AC7493" w:rsidRDefault="00546F63" w:rsidP="00AC7493">
      <w:pPr>
        <w:rPr>
          <w:rFonts w:ascii="Helvetica" w:hAnsi="Helvetica"/>
          <w:color w:val="111111"/>
          <w:shd w:val="clear" w:color="auto" w:fill="F4F4F4"/>
        </w:rPr>
      </w:pPr>
      <w:r>
        <w:rPr>
          <w:rFonts w:ascii="Helvetica" w:hAnsi="Helvetica"/>
          <w:noProof/>
          <w:color w:val="111111"/>
          <w:shd w:val="clear" w:color="auto" w:fill="F4F4F4"/>
        </w:rPr>
        <w:drawing>
          <wp:inline distT="0" distB="0" distL="0" distR="0" wp14:anchorId="3455FB2A" wp14:editId="60BED51D">
            <wp:extent cx="6190615" cy="53170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" r="6212" b="39602"/>
                    <a:stretch/>
                  </pic:blipFill>
                  <pic:spPr bwMode="auto">
                    <a:xfrm>
                      <a:off x="0" y="0"/>
                      <a:ext cx="6194363" cy="532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493" w:rsidRPr="00AC7493" w:rsidSect="003C3F5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52FF8" w14:textId="77777777" w:rsidR="008D34E4" w:rsidRDefault="008D34E4" w:rsidP="00602A55">
      <w:r>
        <w:separator/>
      </w:r>
    </w:p>
  </w:endnote>
  <w:endnote w:type="continuationSeparator" w:id="0">
    <w:p w14:paraId="4A5FE1BC" w14:textId="77777777" w:rsidR="008D34E4" w:rsidRDefault="008D34E4" w:rsidP="0060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7BCA" w14:textId="77777777" w:rsidR="008D34E4" w:rsidRDefault="008D34E4" w:rsidP="00602A55">
      <w:r>
        <w:separator/>
      </w:r>
    </w:p>
  </w:footnote>
  <w:footnote w:type="continuationSeparator" w:id="0">
    <w:p w14:paraId="24CCD93C" w14:textId="77777777" w:rsidR="008D34E4" w:rsidRDefault="008D34E4" w:rsidP="00602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DF75" w14:textId="6432149B" w:rsidR="006375C0" w:rsidRDefault="006375C0" w:rsidP="00194B26">
    <w:pPr>
      <w:pStyle w:val="Header"/>
      <w:tabs>
        <w:tab w:val="clear" w:pos="4680"/>
        <w:tab w:val="clear" w:pos="9360"/>
        <w:tab w:val="right" w:pos="10800"/>
      </w:tabs>
    </w:pPr>
    <w:r>
      <w:t>Assignment 7 Rafael Villasmil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13F3"/>
    <w:multiLevelType w:val="multilevel"/>
    <w:tmpl w:val="2B7E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6645"/>
    <w:multiLevelType w:val="hybridMultilevel"/>
    <w:tmpl w:val="3858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F365F"/>
    <w:multiLevelType w:val="multilevel"/>
    <w:tmpl w:val="447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E7983"/>
    <w:multiLevelType w:val="multilevel"/>
    <w:tmpl w:val="E22E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54A7B"/>
    <w:multiLevelType w:val="hybridMultilevel"/>
    <w:tmpl w:val="C1FA3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34BB2"/>
    <w:multiLevelType w:val="hybridMultilevel"/>
    <w:tmpl w:val="21785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B075B"/>
    <w:multiLevelType w:val="hybridMultilevel"/>
    <w:tmpl w:val="1842EBE6"/>
    <w:lvl w:ilvl="0" w:tplc="1B90D774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5"/>
    <w:rsid w:val="0000740F"/>
    <w:rsid w:val="00041D6E"/>
    <w:rsid w:val="00096DE5"/>
    <w:rsid w:val="00191861"/>
    <w:rsid w:val="00194B26"/>
    <w:rsid w:val="00252365"/>
    <w:rsid w:val="00280B9B"/>
    <w:rsid w:val="002C44B3"/>
    <w:rsid w:val="002C4E6C"/>
    <w:rsid w:val="002E78E9"/>
    <w:rsid w:val="00302F19"/>
    <w:rsid w:val="00345E11"/>
    <w:rsid w:val="00365E2C"/>
    <w:rsid w:val="003C3F51"/>
    <w:rsid w:val="00400709"/>
    <w:rsid w:val="00426EDA"/>
    <w:rsid w:val="00466310"/>
    <w:rsid w:val="00476C13"/>
    <w:rsid w:val="0047713B"/>
    <w:rsid w:val="004D6962"/>
    <w:rsid w:val="00523EF5"/>
    <w:rsid w:val="00530DAB"/>
    <w:rsid w:val="00546F63"/>
    <w:rsid w:val="005D75E4"/>
    <w:rsid w:val="00602A55"/>
    <w:rsid w:val="006375C0"/>
    <w:rsid w:val="00684E68"/>
    <w:rsid w:val="006A0A6A"/>
    <w:rsid w:val="006F4FEE"/>
    <w:rsid w:val="007263A0"/>
    <w:rsid w:val="0079031F"/>
    <w:rsid w:val="007A3FD3"/>
    <w:rsid w:val="007B075E"/>
    <w:rsid w:val="00850347"/>
    <w:rsid w:val="008A27A3"/>
    <w:rsid w:val="008C0004"/>
    <w:rsid w:val="008C1476"/>
    <w:rsid w:val="008D10A1"/>
    <w:rsid w:val="008D34E4"/>
    <w:rsid w:val="008D4272"/>
    <w:rsid w:val="008E6259"/>
    <w:rsid w:val="008F39E8"/>
    <w:rsid w:val="009028E1"/>
    <w:rsid w:val="00940E0D"/>
    <w:rsid w:val="00943527"/>
    <w:rsid w:val="00945411"/>
    <w:rsid w:val="00961899"/>
    <w:rsid w:val="009D12CC"/>
    <w:rsid w:val="00A22638"/>
    <w:rsid w:val="00A314DA"/>
    <w:rsid w:val="00AC7493"/>
    <w:rsid w:val="00AF3C27"/>
    <w:rsid w:val="00B269A6"/>
    <w:rsid w:val="00B35EBC"/>
    <w:rsid w:val="00B77DCD"/>
    <w:rsid w:val="00B8008F"/>
    <w:rsid w:val="00BB7C80"/>
    <w:rsid w:val="00BD5C10"/>
    <w:rsid w:val="00C40DD2"/>
    <w:rsid w:val="00C50EA9"/>
    <w:rsid w:val="00CA6EDB"/>
    <w:rsid w:val="00CC496A"/>
    <w:rsid w:val="00CC4C7C"/>
    <w:rsid w:val="00CF40E1"/>
    <w:rsid w:val="00D61816"/>
    <w:rsid w:val="00D65E46"/>
    <w:rsid w:val="00D7045E"/>
    <w:rsid w:val="00D77369"/>
    <w:rsid w:val="00D77BAF"/>
    <w:rsid w:val="00E07EB9"/>
    <w:rsid w:val="00E4511B"/>
    <w:rsid w:val="00E84D4D"/>
    <w:rsid w:val="00ED1FAD"/>
    <w:rsid w:val="00F72155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AFAE"/>
  <w15:chartTrackingRefBased/>
  <w15:docId w15:val="{269FE8A7-3C0C-A241-A999-6C1543B7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5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02A5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02A55"/>
  </w:style>
  <w:style w:type="paragraph" w:styleId="Footer">
    <w:name w:val="footer"/>
    <w:basedOn w:val="Normal"/>
    <w:link w:val="FooterChar"/>
    <w:uiPriority w:val="99"/>
    <w:unhideWhenUsed/>
    <w:rsid w:val="00602A5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02A55"/>
  </w:style>
  <w:style w:type="character" w:customStyle="1" w:styleId="apple-converted-space">
    <w:name w:val="apple-converted-space"/>
    <w:basedOn w:val="DefaultParagraphFont"/>
    <w:rsid w:val="00400709"/>
  </w:style>
  <w:style w:type="paragraph" w:styleId="ListParagraph">
    <w:name w:val="List Paragraph"/>
    <w:basedOn w:val="Normal"/>
    <w:uiPriority w:val="34"/>
    <w:qFormat/>
    <w:rsid w:val="0000740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0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Villasmil</dc:creator>
  <cp:keywords/>
  <dc:description/>
  <cp:lastModifiedBy>Villasmil, Rafael (NIH/NEI) [E]</cp:lastModifiedBy>
  <cp:revision>12</cp:revision>
  <dcterms:created xsi:type="dcterms:W3CDTF">2020-10-26T02:09:00Z</dcterms:created>
  <dcterms:modified xsi:type="dcterms:W3CDTF">2020-10-26T16:26:00Z</dcterms:modified>
</cp:coreProperties>
</file>