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line="360"/>
        <w:jc w:val="center"/>
      </w:pPr>
      <w:r>
        <w:rPr>
          <w:rFonts w:ascii="Times New Roman" w:cs="Times New Roman" w:eastAsia="Times New Roman" w:hAnsi="Times New Roman"/>
          <w:b/>
          <w:bCs/>
          <w:color w:val="000000"/>
          <w:sz w:val="32"/>
          <w:szCs w:val="32"/>
        </w:rPr>
        <w:t xml:space="preserve">RELATÓRIO DE MISSÃO</w:t>
      </w:r>
    </w:p>
    <w:p>
      <w:pPr>
        <w:spacing w:after="120" w:line="360"/>
        <w:jc w:val="center"/>
      </w:pPr>
      <w:r>
        <w:rPr>
          <w:rFonts w:ascii="Times New Roman" w:cs="Times New Roman" w:eastAsia="Times New Roman" w:hAnsi="Times New Roman"/>
          <w:b/>
          <w:bCs/>
          <w:color w:val="000000"/>
          <w:sz w:val="24"/>
          <w:szCs w:val="24"/>
        </w:rPr>
        <w:t xml:space="preserve">EXTRAÇÃO RADIÔMICA PILOTO — LIDC-IDRI</w:t>
      </w:r>
    </w:p>
    <w:p>
      <w:pPr>
        <w:spacing w:after="60" w:line="360"/>
        <w:jc w:val="center"/>
      </w:pPr>
      <w:r>
        <w:rPr>
          <w:rFonts w:ascii="Times New Roman" w:cs="Times New Roman" w:eastAsia="Times New Roman" w:hAnsi="Times New Roman"/>
          <w:color w:val="000000"/>
          <w:sz w:val="24"/>
          <w:szCs w:val="24"/>
        </w:rPr>
        <w:t xml:space="preserve">Projeto Integrador III — Grupo 4</w:t>
      </w:r>
    </w:p>
    <w:p>
      <w:pPr>
        <w:spacing w:after="360" w:line="360"/>
        <w:jc w:val="center"/>
      </w:pPr>
      <w:r>
        <w:rPr>
          <w:rFonts w:ascii="Times New Roman" w:cs="Times New Roman" w:eastAsia="Times New Roman" w:hAnsi="Times New Roman"/>
          <w:i/>
          <w:iCs/>
          <w:color w:val="444444"/>
          <w:sz w:val="22"/>
          <w:szCs w:val="22"/>
        </w:rPr>
        <w:t xml:space="preserve">Responsáveis pela execução: Rafael e Samara  |  Documento: Samara</w:t>
      </w:r>
    </w:p>
    <w:p>
      <w:pPr>
        <w:keepNext/>
        <w:spacing w:after="80" w:before="240" w:line="240"/>
      </w:pPr>
      <w:r>
        <w:rPr>
          <w:rFonts w:ascii="Times New Roman" w:cs="Times New Roman" w:eastAsia="Times New Roman" w:hAnsi="Times New Roman"/>
          <w:color w:val="000000"/>
          <w:sz w:val="20"/>
          <w:szCs w:val="20"/>
        </w:rPr>
        <w:t xml:space="preserve">Ficha da missão</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400"/>
        <w:gridCol w:w="6672"/>
      </w:tblGrid>
      <w:tr>
        <w:trPr>
          <w:cantSplit/>
          <w:tblHeader/>
        </w:trPr>
        <w:tc>
          <w:tcPr>
            <w:tcW w:type="dxa" w:w="2400"/>
            <w:shd w:fill="D9D9D9" w:color="auto" w:val="clear"/>
            <w:tcMar>
              <w:top w:type="dxa" w:w="70"/>
              <w:left w:type="dxa" w:w="100"/>
              <w:bottom w:type="dxa" w:w="70"/>
              <w:right w:type="dxa" w:w="100"/>
            </w:tcMar>
          </w:tcPr>
          <w:p>
            <w:pPr>
              <w:spacing w:after="0" w:line="240"/>
            </w:pPr>
            <w:r>
              <w:rPr>
                <w:rFonts w:ascii="Times New Roman" w:cs="Times New Roman" w:eastAsia="Times New Roman" w:hAnsi="Times New Roman"/>
                <w:b/>
                <w:bCs/>
                <w:i w:val="false"/>
                <w:iCs w:val="false"/>
                <w:color w:val="000000"/>
                <w:sz w:val="20"/>
                <w:szCs w:val="20"/>
              </w:rPr>
              <w:t xml:space="preserve">Campo</w:t>
            </w:r>
          </w:p>
        </w:tc>
        <w:tc>
          <w:tcPr>
            <w:tcW w:type="dxa" w:w="6672"/>
            <w:shd w:fill="D9D9D9" w:color="auto" w:val="clear"/>
            <w:tcMar>
              <w:top w:type="dxa" w:w="70"/>
              <w:left w:type="dxa" w:w="100"/>
              <w:bottom w:type="dxa" w:w="70"/>
              <w:right w:type="dxa" w:w="100"/>
            </w:tcMar>
          </w:tcPr>
          <w:p>
            <w:pPr>
              <w:spacing w:after="0" w:line="240"/>
            </w:pPr>
            <w:r>
              <w:rPr>
                <w:rFonts w:ascii="Times New Roman" w:cs="Times New Roman" w:eastAsia="Times New Roman" w:hAnsi="Times New Roman"/>
                <w:b/>
                <w:bCs/>
                <w:i w:val="false"/>
                <w:iCs w:val="false"/>
                <w:color w:val="000000"/>
                <w:sz w:val="20"/>
                <w:szCs w:val="20"/>
              </w:rPr>
              <w:t xml:space="preserve">Valor</w:t>
            </w:r>
          </w:p>
        </w:tc>
      </w:tr>
      <w:tr>
        <w:trPr>
          <w:cantSplit/>
          <w:tblHeader w:val="false"/>
        </w:trPr>
        <w:tc>
          <w:tcPr>
            <w:tcW w:type="dxa" w:w="2400"/>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Etapa do KDD</w:t>
            </w:r>
          </w:p>
        </w:tc>
        <w:tc>
          <w:tcPr>
            <w:tcW w:type="dxa" w:w="6672"/>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Transformação</w:t>
            </w:r>
          </w:p>
        </w:tc>
      </w:tr>
      <w:tr>
        <w:trPr>
          <w:cantSplit/>
          <w:tblHeader w:val="false"/>
        </w:trPr>
        <w:tc>
          <w:tcPr>
            <w:tcW w:type="dxa" w:w="2400"/>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Objetivo</w:t>
            </w:r>
          </w:p>
        </w:tc>
        <w:tc>
          <w:tcPr>
            <w:tcW w:type="dxa" w:w="6672"/>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Implementar e validar a primeira extração reproduzível de características radiômicas</w:t>
            </w:r>
          </w:p>
        </w:tc>
      </w:tr>
      <w:tr>
        <w:trPr>
          <w:cantSplit/>
          <w:tblHeader w:val="false"/>
        </w:trPr>
        <w:tc>
          <w:tcPr>
            <w:tcW w:type="dxa" w:w="2400"/>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Pergunta da sprint</w:t>
            </w:r>
          </w:p>
        </w:tc>
        <w:tc>
          <w:tcPr>
            <w:tcW w:type="dxa" w:w="6672"/>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As segmentações preparadas permitem extrair de forma consistente features de forma, intensidade e textura?</w:t>
            </w:r>
          </w:p>
        </w:tc>
      </w:tr>
      <w:tr>
        <w:trPr>
          <w:cantSplit/>
          <w:tblHeader w:val="false"/>
        </w:trPr>
        <w:tc>
          <w:tcPr>
            <w:tcW w:type="dxa" w:w="2400"/>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Entregável</w:t>
            </w:r>
          </w:p>
        </w:tc>
        <w:tc>
          <w:tcPr>
            <w:tcW w:type="dxa" w:w="6672"/>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Pipeline piloto de extração + tabela derivada (IDs, alvo, features), sem versionar DICOMs</w:t>
            </w:r>
          </w:p>
        </w:tc>
      </w:tr>
      <w:tr>
        <w:trPr>
          <w:cantSplit/>
          <w:tblHeader w:val="false"/>
        </w:trPr>
        <w:tc>
          <w:tcPr>
            <w:tcW w:type="dxa" w:w="2400"/>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Versões executadas</w:t>
            </w:r>
          </w:p>
        </w:tc>
        <w:tc>
          <w:tcPr>
            <w:tcW w:type="dxa" w:w="6672"/>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v1 (com falha identificada) e v2 (corrigida) — ver Seção 4</w:t>
            </w:r>
          </w:p>
        </w:tc>
      </w:tr>
      <w:tr>
        <w:trPr>
          <w:cantSplit/>
          <w:tblHeader w:val="false"/>
        </w:trPr>
        <w:tc>
          <w:tcPr>
            <w:tcW w:type="dxa" w:w="2400"/>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Status neste documento</w:t>
            </w:r>
          </w:p>
        </w:tc>
        <w:tc>
          <w:tcPr>
            <w:tcW w:type="dxa" w:w="6672"/>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CONCLUÍDO — pipeline confirmado determinístico; Seção 3.4 valida a proporção de indeterminados em escala populacional</w:t>
            </w:r>
          </w:p>
        </w:tc>
      </w:tr>
    </w:tbl>
    <w:p>
      <w:pPr>
        <w:spacing w:after="240" w:before="80" w:line="240"/>
      </w:pPr>
      <w:r>
        <w:rPr>
          <w:rFonts w:ascii="Times New Roman" w:cs="Times New Roman" w:eastAsia="Times New Roman" w:hAnsi="Times New Roman"/>
          <w:color w:val="000000"/>
          <w:sz w:val="20"/>
          <w:szCs w:val="20"/>
        </w:rPr>
        <w:t xml:space="preserve">Fonte: card da Sprint 2, Trello do Grupo 4.</w:t>
      </w:r>
    </w:p>
    <w:p>
      <w:pPr>
        <w:pStyle w:val="Heading1"/>
        <w:spacing w:after="240" w:before="360" w:line="360"/>
      </w:pPr>
      <w:r>
        <w:rPr>
          <w:rFonts w:ascii="Times New Roman" w:cs="Times New Roman" w:eastAsia="Times New Roman" w:hAnsi="Times New Roman"/>
          <w:b/>
          <w:bCs/>
          <w:color w:val="000000"/>
          <w:sz w:val="24"/>
          <w:szCs w:val="24"/>
        </w:rPr>
        <w:t xml:space="preserve">1 O QUE É ESTE PILOTO</w:t>
      </w:r>
    </w:p>
    <w:p>
      <w:pPr>
        <w:spacing w:after="0" w:line="360"/>
        <w:ind w:firstLine="709"/>
        <w:jc w:val="both"/>
      </w:pPr>
      <w:r>
        <w:rPr>
          <w:rFonts w:ascii="Times New Roman" w:cs="Times New Roman" w:eastAsia="Times New Roman" w:hAnsi="Times New Roman"/>
          <w:color w:val="000000"/>
          <w:sz w:val="24"/>
          <w:szCs w:val="24"/>
        </w:rPr>
        <w:t xml:space="preserve">Este documento registra a execução do pipeline de extração radiômica piloto do Grupo 4, correspondente à etapa de Transformação do processo KDD adotado pelo projeto. É um relatório vivo: as seções 1 a 3 explicam o que foi feito e por quê, a Seção 4 documenta o incidente encontrado na primeira execução e as correções aplicadas, e a Seção 5 é preenchida progressivamente com os resultados obtidos a cada rodada.</w:t>
      </w:r>
    </w:p>
    <w:p>
      <w:pPr>
        <w:spacing w:after="0" w:line="360"/>
        <w:ind w:firstLine="709"/>
        <w:jc w:val="both"/>
      </w:pPr>
      <w:r>
        <w:rPr>
          <w:rFonts w:ascii="Times New Roman" w:cs="Times New Roman" w:eastAsia="Times New Roman" w:hAnsi="Times New Roman"/>
          <w:color w:val="000000"/>
          <w:sz w:val="24"/>
          <w:szCs w:val="24"/>
        </w:rPr>
        <w:t xml:space="preserve">O pipeline parte dos exames de tomografia computadorizada do conjunto LIDC-IDRI, já anotados por até quatro radiologistas por nódulo, e produz uma tabela em que cada linha é um nódulo pulmonar, com identificador, escore de malignidade atribuído pelos radiologistas e cerca de cem atributos numéricos calculados a partir da imagem. Essa tabela é o insumo direto para a análise exploratória e para o treinamento do baseline nas sprints seguintes.</w:t>
      </w:r>
    </w:p>
    <w:p>
      <w:pPr>
        <w:pStyle w:val="Heading1"/>
        <w:spacing w:after="240" w:before="360" w:line="360"/>
      </w:pPr>
      <w:r>
        <w:rPr>
          <w:rFonts w:ascii="Times New Roman" w:cs="Times New Roman" w:eastAsia="Times New Roman" w:hAnsi="Times New Roman"/>
          <w:b/>
          <w:bCs/>
          <w:color w:val="000000"/>
          <w:sz w:val="24"/>
          <w:szCs w:val="24"/>
        </w:rPr>
        <w:t xml:space="preserve">2 POR QUE ESTE PILOTO EXISTE</w:t>
      </w:r>
    </w:p>
    <w:p>
      <w:pPr>
        <w:pStyle w:val="Heading2"/>
        <w:spacing w:after="200" w:before="280" w:line="360"/>
      </w:pPr>
      <w:r>
        <w:rPr>
          <w:rFonts w:ascii="Times New Roman" w:cs="Times New Roman" w:eastAsia="Times New Roman" w:hAnsi="Times New Roman"/>
          <w:b/>
          <w:bCs/>
          <w:color w:val="000000"/>
          <w:sz w:val="24"/>
          <w:szCs w:val="24"/>
        </w:rPr>
        <w:t xml:space="preserve">2.1 O problema que ele resolve</w:t>
      </w:r>
    </w:p>
    <w:p>
      <w:pPr>
        <w:spacing w:after="0" w:line="360"/>
        <w:ind w:firstLine="709"/>
        <w:jc w:val="both"/>
      </w:pPr>
      <w:r>
        <w:rPr>
          <w:rFonts w:ascii="Times New Roman" w:cs="Times New Roman" w:eastAsia="Times New Roman" w:hAnsi="Times New Roman"/>
          <w:color w:val="000000"/>
          <w:sz w:val="24"/>
          <w:szCs w:val="24"/>
        </w:rPr>
        <w:t xml:space="preserve">Um classificador de aprendizado de máquina não recebe uma imagem de tomografia como entrada direta; ele recebe números. A radiômica converte a imagem de um nódulo em um vetor de atributos quantitativos — forma, intensidade, textura — que descrevem matematicamente aquilo que um radiologista descreveria em palavras. Sem essa conversão, não existe baseline nem modelo a treinar.</w:t>
      </w:r>
    </w:p>
    <w:p>
      <w:pPr>
        <w:spacing w:after="0" w:line="360"/>
        <w:ind w:firstLine="709"/>
        <w:jc w:val="both"/>
      </w:pPr>
      <w:r>
        <w:rPr>
          <w:rFonts w:ascii="Times New Roman" w:cs="Times New Roman" w:eastAsia="Times New Roman" w:hAnsi="Times New Roman"/>
          <w:color w:val="000000"/>
          <w:sz w:val="24"/>
          <w:szCs w:val="24"/>
        </w:rPr>
        <w:t xml:space="preserve">O pipeline piloto testa se essa conversão funciona de ponta a ponta antes de ser aplicada ao conjunto completo. Rodar o processo inteiro em mil pacientes sem antes validar a lógica em amostra pequena arriscaria descobrir um erro sistemático somente depois de gasto o tempo de processamento de todo o conjunto — como de fato ocorreu, na forma descrita na Seção 4.</w:t>
      </w:r>
    </w:p>
    <w:p>
      <w:pPr>
        <w:pStyle w:val="Heading2"/>
        <w:spacing w:after="200" w:before="280" w:line="360"/>
      </w:pPr>
      <w:r>
        <w:rPr>
          <w:rFonts w:ascii="Times New Roman" w:cs="Times New Roman" w:eastAsia="Times New Roman" w:hAnsi="Times New Roman"/>
          <w:b/>
          <w:bCs/>
          <w:color w:val="000000"/>
          <w:sz w:val="24"/>
          <w:szCs w:val="24"/>
        </w:rPr>
        <w:t xml:space="preserve">2.2 Por que "piloto" e não a extração final</w:t>
      </w:r>
    </w:p>
    <w:p>
      <w:pPr>
        <w:spacing w:after="0" w:line="360"/>
        <w:ind w:firstLine="709"/>
        <w:jc w:val="both"/>
      </w:pPr>
      <w:r>
        <w:rPr>
          <w:rFonts w:ascii="Times New Roman" w:cs="Times New Roman" w:eastAsia="Times New Roman" w:hAnsi="Times New Roman"/>
          <w:color w:val="000000"/>
          <w:sz w:val="24"/>
          <w:szCs w:val="24"/>
        </w:rPr>
        <w:t xml:space="preserve">A extração final depende de decisões que o grupo ainda não tomou coletivamente: qual regra consolida as quatro notas de malignidade em um rótulo único, o que fazer com nódulos de classificação intermediária, e qual estratégia de máscara consolida os quatro contornos dos radiologistas em uma única região de interesse. O piloto roda com valores provisórios para essas decisões. Qualquer resultado numérico deste documento reflete os parâmetros registrados na Seção 3, não uma decisão definitiva do grupo.</w:t>
      </w:r>
    </w:p>
    <w:p>
      <w:pPr>
        <w:pStyle w:val="Heading2"/>
        <w:spacing w:after="200" w:before="280" w:line="360"/>
      </w:pPr>
      <w:r>
        <w:rPr>
          <w:rFonts w:ascii="Times New Roman" w:cs="Times New Roman" w:eastAsia="Times New Roman" w:hAnsi="Times New Roman"/>
          <w:b/>
          <w:bCs/>
          <w:color w:val="000000"/>
          <w:sz w:val="24"/>
          <w:szCs w:val="24"/>
        </w:rPr>
        <w:t xml:space="preserve">2.3 Para que serve, concretamente</w:t>
      </w:r>
    </w:p>
    <w:p>
      <w:pPr>
        <w:pStyle w:val="ListParagraph"/>
        <w:numPr>
          <w:ilvl w:val="0"/>
          <w:numId w:val="1"/>
        </w:numPr>
        <w:spacing w:after="0" w:line="360"/>
        <w:jc w:val="both"/>
      </w:pPr>
      <w:r>
        <w:rPr>
          <w:rFonts w:ascii="Times New Roman" w:cs="Times New Roman" w:eastAsia="Times New Roman" w:hAnsi="Times New Roman"/>
          <w:color w:val="000000"/>
          <w:sz w:val="24"/>
          <w:szCs w:val="24"/>
        </w:rPr>
        <w:t xml:space="preserve">Confirmar que o ambiente de execução funciona de fato, incluindo a estabilidade do próprio código de extração — o que a primeira execução mostrou não poder ser dado como certo.</w:t>
      </w:r>
    </w:p>
    <w:p>
      <w:pPr>
        <w:pStyle w:val="ListParagraph"/>
        <w:numPr>
          <w:ilvl w:val="0"/>
          <w:numId w:val="1"/>
        </w:numPr>
        <w:spacing w:after="0" w:line="360"/>
        <w:jc w:val="both"/>
      </w:pPr>
      <w:r>
        <w:rPr>
          <w:rFonts w:ascii="Times New Roman" w:cs="Times New Roman" w:eastAsia="Times New Roman" w:hAnsi="Times New Roman"/>
          <w:color w:val="000000"/>
          <w:sz w:val="24"/>
          <w:szCs w:val="24"/>
        </w:rPr>
        <w:t xml:space="preserve">Gerar uma primeira tabela de atributos pequena o suficiente para ser inspecionada manualmente.</w:t>
      </w:r>
    </w:p>
    <w:p>
      <w:pPr>
        <w:pStyle w:val="ListParagraph"/>
        <w:numPr>
          <w:ilvl w:val="0"/>
          <w:numId w:val="1"/>
        </w:numPr>
        <w:spacing w:after="0" w:line="360"/>
        <w:jc w:val="both"/>
      </w:pPr>
      <w:r>
        <w:rPr>
          <w:rFonts w:ascii="Times New Roman" w:cs="Times New Roman" w:eastAsia="Times New Roman" w:hAnsi="Times New Roman"/>
          <w:color w:val="000000"/>
          <w:sz w:val="24"/>
          <w:szCs w:val="24"/>
        </w:rPr>
        <w:t xml:space="preserve">Produzir a configuração documentada do extrator como evidência reprodutível da sprint.</w:t>
      </w:r>
    </w:p>
    <w:p>
      <w:pPr>
        <w:pStyle w:val="ListParagraph"/>
        <w:numPr>
          <w:ilvl w:val="0"/>
          <w:numId w:val="1"/>
        </w:numPr>
        <w:spacing w:after="0" w:line="360"/>
        <w:jc w:val="both"/>
      </w:pPr>
      <w:r>
        <w:rPr>
          <w:rFonts w:ascii="Times New Roman" w:cs="Times New Roman" w:eastAsia="Times New Roman" w:hAnsi="Times New Roman"/>
          <w:color w:val="000000"/>
          <w:sz w:val="24"/>
          <w:szCs w:val="24"/>
        </w:rPr>
        <w:t xml:space="preserve">Servir de insumo imediato para o baseline e a análise exploratória, ainda que em escala reduzida.</w:t>
      </w:r>
    </w:p>
    <w:p>
      <w:pPr>
        <w:pStyle w:val="Heading1"/>
        <w:spacing w:after="240" w:before="360" w:line="360"/>
      </w:pPr>
      <w:r>
        <w:rPr>
          <w:rFonts w:ascii="Times New Roman" w:cs="Times New Roman" w:eastAsia="Times New Roman" w:hAnsi="Times New Roman"/>
          <w:b/>
          <w:bCs/>
          <w:color w:val="000000"/>
          <w:sz w:val="24"/>
          <w:szCs w:val="24"/>
        </w:rPr>
        <w:t xml:space="preserve">3 COMO FOI FEITO</w:t>
      </w:r>
    </w:p>
    <w:p>
      <w:pPr>
        <w:pStyle w:val="Heading2"/>
        <w:spacing w:after="200" w:before="280" w:line="360"/>
      </w:pPr>
      <w:r>
        <w:rPr>
          <w:rFonts w:ascii="Times New Roman" w:cs="Times New Roman" w:eastAsia="Times New Roman" w:hAnsi="Times New Roman"/>
          <w:b/>
          <w:bCs/>
          <w:color w:val="000000"/>
          <w:sz w:val="24"/>
          <w:szCs w:val="24"/>
        </w:rPr>
        <w:t xml:space="preserve">3.1 Origem dos dados</w:t>
      </w:r>
    </w:p>
    <w:p>
      <w:pPr>
        <w:spacing w:after="0" w:line="360"/>
        <w:ind w:firstLine="709"/>
        <w:jc w:val="both"/>
      </w:pPr>
      <w:r>
        <w:rPr>
          <w:rFonts w:ascii="Times New Roman" w:cs="Times New Roman" w:eastAsia="Times New Roman" w:hAnsi="Times New Roman"/>
          <w:color w:val="000000"/>
          <w:sz w:val="24"/>
          <w:szCs w:val="24"/>
        </w:rPr>
        <w:t xml:space="preserve">Conjunto LIDC-IDRI, obtido via NCI Imaging Data Commons. Cada nódulo pulmonar foi avaliado independentemente por até quatro radiologistas, cada um atribuindo uma nota de malignidade em escala de 1 a 5 e traçando seu próprio contorno da lesão.</w:t>
      </w:r>
    </w:p>
    <w:p>
      <w:pPr>
        <w:pStyle w:val="Heading2"/>
        <w:spacing w:after="200" w:before="280" w:line="360"/>
      </w:pPr>
      <w:r>
        <w:rPr>
          <w:rFonts w:ascii="Times New Roman" w:cs="Times New Roman" w:eastAsia="Times New Roman" w:hAnsi="Times New Roman"/>
          <w:b/>
          <w:bCs/>
          <w:color w:val="000000"/>
          <w:sz w:val="24"/>
          <w:szCs w:val="24"/>
        </w:rPr>
        <w:t xml:space="preserve">3.2 Etapas do pipeline</w:t>
      </w:r>
    </w:p>
    <w:p>
      <w:pPr>
        <w:pStyle w:val="ListParagraph"/>
        <w:numPr>
          <w:ilvl w:val="0"/>
          <w:numId w:val="1"/>
        </w:numPr>
        <w:spacing w:after="0" w:line="360"/>
        <w:jc w:val="both"/>
      </w:pPr>
      <w:r>
        <w:rPr>
          <w:rFonts w:ascii="Times New Roman" w:cs="Times New Roman" w:eastAsia="Times New Roman" w:hAnsi="Times New Roman"/>
          <w:color w:val="000000"/>
          <w:sz w:val="24"/>
          <w:szCs w:val="24"/>
        </w:rPr>
        <w:t xml:space="preserve">Obtenção: verificação do que já existe localmente e, quando necessário, download direto do repositório do NCI.</w:t>
      </w:r>
    </w:p>
    <w:p>
      <w:pPr>
        <w:pStyle w:val="ListParagraph"/>
        <w:numPr>
          <w:ilvl w:val="0"/>
          <w:numId w:val="1"/>
        </w:numPr>
        <w:spacing w:after="0" w:line="360"/>
        <w:jc w:val="both"/>
      </w:pPr>
      <w:r>
        <w:rPr>
          <w:rFonts w:ascii="Times New Roman" w:cs="Times New Roman" w:eastAsia="Times New Roman" w:hAnsi="Times New Roman"/>
          <w:color w:val="000000"/>
          <w:sz w:val="24"/>
          <w:szCs w:val="24"/>
        </w:rPr>
        <w:t xml:space="preserve">Montagem da máscara: consolidação dos contornos dos radiologistas em uma única região de interesse, conforme a estratégia parametrizada.</w:t>
      </w:r>
    </w:p>
    <w:p>
      <w:pPr>
        <w:pStyle w:val="ListParagraph"/>
        <w:numPr>
          <w:ilvl w:val="0"/>
          <w:numId w:val="1"/>
        </w:numPr>
        <w:spacing w:after="0" w:line="360"/>
        <w:jc w:val="both"/>
      </w:pPr>
      <w:r>
        <w:rPr>
          <w:rFonts w:ascii="Times New Roman" w:cs="Times New Roman" w:eastAsia="Times New Roman" w:hAnsi="Times New Roman"/>
          <w:color w:val="000000"/>
          <w:sz w:val="24"/>
          <w:szCs w:val="24"/>
        </w:rPr>
        <w:t xml:space="preserve">Extração: cálculo dos atributos radiômicos sobre a imagem recortada pela máscara, usando a biblioteca PyRadiomics.</w:t>
      </w:r>
    </w:p>
    <w:p>
      <w:pPr>
        <w:pStyle w:val="ListParagraph"/>
        <w:numPr>
          <w:ilvl w:val="0"/>
          <w:numId w:val="1"/>
        </w:numPr>
        <w:spacing w:after="0" w:line="360"/>
        <w:jc w:val="both"/>
      </w:pPr>
      <w:r>
        <w:rPr>
          <w:rFonts w:ascii="Times New Roman" w:cs="Times New Roman" w:eastAsia="Times New Roman" w:hAnsi="Times New Roman"/>
          <w:color w:val="000000"/>
          <w:sz w:val="24"/>
          <w:szCs w:val="24"/>
        </w:rPr>
        <w:t xml:space="preserve">Consolidação da tabela: reunião de identificador, escores brutos dos radiologistas e atributos extraídos em uma única linha por nódulo.</w:t>
      </w:r>
    </w:p>
    <w:p>
      <w:pPr>
        <w:pStyle w:val="ListParagraph"/>
        <w:numPr>
          <w:ilvl w:val="0"/>
          <w:numId w:val="1"/>
        </w:numPr>
        <w:spacing w:after="0" w:line="360"/>
        <w:jc w:val="both"/>
      </w:pPr>
      <w:r>
        <w:rPr>
          <w:rFonts w:ascii="Times New Roman" w:cs="Times New Roman" w:eastAsia="Times New Roman" w:hAnsi="Times New Roman"/>
          <w:color w:val="000000"/>
          <w:sz w:val="24"/>
          <w:szCs w:val="24"/>
        </w:rPr>
        <w:t xml:space="preserve">Validação automática: checagem de contagem de atributos por classe, tipos de dado, valores ausentes ou degenerados, coerência geométrica das medidas de forma e, a partir da v2, teste explícito de determinismo (Seção 4.3).</w:t>
      </w:r>
    </w:p>
    <w:p>
      <w:pPr>
        <w:pStyle w:val="Heading2"/>
        <w:spacing w:after="200" w:before="280" w:line="360"/>
      </w:pPr>
      <w:r>
        <w:rPr>
          <w:rFonts w:ascii="Times New Roman" w:cs="Times New Roman" w:eastAsia="Times New Roman" w:hAnsi="Times New Roman"/>
          <w:b/>
          <w:bCs/>
          <w:color w:val="000000"/>
          <w:sz w:val="24"/>
          <w:szCs w:val="24"/>
        </w:rPr>
        <w:t xml:space="preserve">3.3 Parâmetros da Rodada 2 (versão corrigida)</w:t>
      </w:r>
    </w:p>
    <w:p>
      <w:pPr>
        <w:spacing w:after="0" w:line="360"/>
        <w:ind w:firstLine="709"/>
        <w:jc w:val="both"/>
      </w:pPr>
      <w:r>
        <w:rPr>
          <w:rFonts w:ascii="Times New Roman" w:cs="Times New Roman" w:eastAsia="Times New Roman" w:hAnsi="Times New Roman"/>
          <w:color w:val="000000"/>
          <w:sz w:val="24"/>
          <w:szCs w:val="24"/>
        </w:rPr>
        <w:t xml:space="preserve">Configuração efetivamente usada na execução da v2, conforme gravado em config_piloto_v2.json na pasta config/ do Drive. Estes valores permanecem provisórios quanto às quatro decisões ainda não fechadas pelo grupo, listadas ao final desta seção — a mudança de v1 para v2 alterou apenas o código de extração, não estes parâmetros.</w:t>
      </w:r>
    </w:p>
    <w:p>
      <w:pPr>
        <w:keepNext/>
        <w:spacing w:after="80" w:before="240" w:line="240"/>
      </w:pPr>
      <w:r>
        <w:rPr>
          <w:rFonts w:ascii="Times New Roman" w:cs="Times New Roman" w:eastAsia="Times New Roman" w:hAnsi="Times New Roman"/>
          <w:color w:val="000000"/>
          <w:sz w:val="20"/>
          <w:szCs w:val="20"/>
        </w:rPr>
        <w:t xml:space="preserve">Quadro 1 - Parâmetros da Rodada 2 (piloto_v2)</w:t>
      </w:r>
    </w:p>
    <w:tbl>
      <w:tblPr>
        <w:tblW w:type="dxa" w:w="8672"/>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072"/>
      </w:tblGrid>
      <w:tr>
        <w:trPr>
          <w:cantSplit/>
          <w:tblHeader/>
        </w:trPr>
        <w:tc>
          <w:tcPr>
            <w:tcW w:type="dxa" w:w="3200"/>
            <w:shd w:fill="D9D9D9" w:color="auto" w:val="clear"/>
            <w:tcMar>
              <w:top w:type="dxa" w:w="70"/>
              <w:left w:type="dxa" w:w="100"/>
              <w:bottom w:type="dxa" w:w="70"/>
              <w:right w:type="dxa" w:w="100"/>
            </w:tcMar>
          </w:tcPr>
          <w:p>
            <w:pPr>
              <w:spacing w:after="0" w:line="240"/>
            </w:pPr>
            <w:r>
              <w:rPr>
                <w:rFonts w:ascii="Times New Roman" w:cs="Times New Roman" w:eastAsia="Times New Roman" w:hAnsi="Times New Roman"/>
                <w:b/>
                <w:bCs/>
                <w:i w:val="false"/>
                <w:iCs w:val="false"/>
                <w:color w:val="000000"/>
                <w:sz w:val="20"/>
                <w:szCs w:val="20"/>
              </w:rPr>
              <w:t xml:space="preserve">Parâmetro</w:t>
            </w:r>
          </w:p>
        </w:tc>
        <w:tc>
          <w:tcPr>
            <w:tcW w:type="dxa" w:w="2400"/>
            <w:shd w:fill="D9D9D9" w:color="auto" w:val="clear"/>
            <w:tcMar>
              <w:top w:type="dxa" w:w="70"/>
              <w:left w:type="dxa" w:w="100"/>
              <w:bottom w:type="dxa" w:w="70"/>
              <w:right w:type="dxa" w:w="100"/>
            </w:tcMar>
          </w:tcPr>
          <w:p>
            <w:pPr>
              <w:spacing w:after="0" w:line="240"/>
            </w:pPr>
            <w:r>
              <w:rPr>
                <w:rFonts w:ascii="Times New Roman" w:cs="Times New Roman" w:eastAsia="Times New Roman" w:hAnsi="Times New Roman"/>
                <w:b/>
                <w:bCs/>
                <w:i w:val="false"/>
                <w:iCs w:val="false"/>
                <w:color w:val="000000"/>
                <w:sz w:val="20"/>
                <w:szCs w:val="20"/>
              </w:rPr>
              <w:t xml:space="preserve">Valor</w:t>
            </w:r>
          </w:p>
        </w:tc>
        <w:tc>
          <w:tcPr>
            <w:tcW w:type="dxa" w:w="3072"/>
            <w:shd w:fill="D9D9D9" w:color="auto" w:val="clear"/>
            <w:tcMar>
              <w:top w:type="dxa" w:w="70"/>
              <w:left w:type="dxa" w:w="100"/>
              <w:bottom w:type="dxa" w:w="70"/>
              <w:right w:type="dxa" w:w="100"/>
            </w:tcMar>
          </w:tcPr>
          <w:p>
            <w:pPr>
              <w:spacing w:after="0" w:line="240"/>
            </w:pPr>
            <w:r>
              <w:rPr>
                <w:rFonts w:ascii="Times New Roman" w:cs="Times New Roman" w:eastAsia="Times New Roman" w:hAnsi="Times New Roman"/>
                <w:b/>
                <w:bCs/>
                <w:i w:val="false"/>
                <w:iCs w:val="false"/>
                <w:color w:val="000000"/>
                <w:sz w:val="20"/>
                <w:szCs w:val="20"/>
              </w:rPr>
              <w:t xml:space="preserve">Natureza</w:t>
            </w:r>
          </w:p>
        </w:tc>
      </w:tr>
      <w:tr>
        <w:trPr>
          <w:cantSplit/>
          <w:tblHeader w:val="false"/>
        </w:trPr>
        <w:tc>
          <w:tcPr>
            <w:tcW w:type="dxa" w:w="3200"/>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versao_config</w:t>
            </w:r>
          </w:p>
        </w:tc>
        <w:tc>
          <w:tcPr>
            <w:tcW w:type="dxa" w:w="2400"/>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piloto_v2</w:t>
            </w:r>
          </w:p>
        </w:tc>
        <w:tc>
          <w:tcPr>
            <w:tcW w:type="dxa" w:w="3072"/>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identificação da rodada</w:t>
            </w:r>
          </w:p>
        </w:tc>
      </w:tr>
      <w:tr>
        <w:trPr>
          <w:cantSplit/>
          <w:tblHeader w:val="false"/>
        </w:trPr>
        <w:tc>
          <w:tcPr>
            <w:tcW w:type="dxa" w:w="3200"/>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espacamento</w:t>
            </w:r>
          </w:p>
        </w:tc>
        <w:tc>
          <w:tcPr>
            <w:tcW w:type="dxa" w:w="2400"/>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iCs/>
                <w:color w:val="000000"/>
                <w:sz w:val="20"/>
                <w:szCs w:val="20"/>
              </w:rPr>
              <w:t xml:space="preserve">[1.0, 1.0, 1.0] mm</w:t>
            </w:r>
          </w:p>
        </w:tc>
        <w:tc>
          <w:tcPr>
            <w:tcW w:type="dxa" w:w="3072"/>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fixo — reamostragem isotrópica</w:t>
            </w:r>
          </w:p>
        </w:tc>
      </w:tr>
      <w:tr>
        <w:trPr>
          <w:cantSplit/>
          <w:tblHeader w:val="false"/>
        </w:trPr>
        <w:tc>
          <w:tcPr>
            <w:tcW w:type="dxa" w:w="3200"/>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interpolador</w:t>
            </w:r>
          </w:p>
        </w:tc>
        <w:tc>
          <w:tcPr>
            <w:tcW w:type="dxa" w:w="2400"/>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sitkBSpline</w:t>
            </w:r>
          </w:p>
        </w:tc>
        <w:tc>
          <w:tcPr>
            <w:tcW w:type="dxa" w:w="3072"/>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fixo — ver Seção 4 caso apareça instabilidade</w:t>
            </w:r>
          </w:p>
        </w:tc>
      </w:tr>
      <w:tr>
        <w:trPr>
          <w:cantSplit/>
          <w:tblHeader w:val="false"/>
        </w:trPr>
        <w:tc>
          <w:tcPr>
            <w:tcW w:type="dxa" w:w="3200"/>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modo_discretizacao</w:t>
            </w:r>
          </w:p>
        </w:tc>
        <w:tc>
          <w:tcPr>
            <w:tcW w:type="dxa" w:w="2400"/>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binCount</w:t>
            </w:r>
          </w:p>
        </w:tc>
        <w:tc>
          <w:tcPr>
            <w:tcW w:type="dxa" w:w="3072"/>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decisão do grupo, ver observação abaixo</w:t>
            </w:r>
          </w:p>
        </w:tc>
      </w:tr>
      <w:tr>
        <w:trPr>
          <w:cantSplit/>
          <w:tblHeader w:val="false"/>
        </w:trPr>
        <w:tc>
          <w:tcPr>
            <w:tcW w:type="dxa" w:w="3200"/>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bin_count</w:t>
            </w:r>
          </w:p>
        </w:tc>
        <w:tc>
          <w:tcPr>
            <w:tcW w:type="dxa" w:w="2400"/>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64</w:t>
            </w:r>
          </w:p>
        </w:tc>
        <w:tc>
          <w:tcPr>
            <w:tcW w:type="dxa" w:w="3072"/>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usado (modo = binCount)</w:t>
            </w:r>
          </w:p>
        </w:tc>
      </w:tr>
      <w:tr>
        <w:trPr>
          <w:cantSplit/>
          <w:tblHeader w:val="false"/>
        </w:trPr>
        <w:tc>
          <w:tcPr>
            <w:tcW w:type="dxa" w:w="3200"/>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bin_width</w:t>
            </w:r>
          </w:p>
        </w:tc>
        <w:tc>
          <w:tcPr>
            <w:tcW w:type="dxa" w:w="2400"/>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25 HU</w:t>
            </w:r>
          </w:p>
        </w:tc>
        <w:tc>
          <w:tcPr>
            <w:tcW w:type="dxa" w:w="3072"/>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parâmetro alternativo, não usado nesta rodada</w:t>
            </w:r>
          </w:p>
        </w:tc>
      </w:tr>
      <w:tr>
        <w:trPr>
          <w:cantSplit/>
          <w:tblHeader w:val="false"/>
        </w:trPr>
        <w:tc>
          <w:tcPr>
            <w:tcW w:type="dxa" w:w="3200"/>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mascara</w:t>
            </w:r>
          </w:p>
        </w:tc>
        <w:tc>
          <w:tcPr>
            <w:tcW w:type="dxa" w:w="2400"/>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consenso50</w:t>
            </w:r>
          </w:p>
        </w:tc>
        <w:tc>
          <w:tcPr>
            <w:tcW w:type="dxa" w:w="3072"/>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PENDENTE — decisão não fechada pelo grupo</w:t>
            </w:r>
          </w:p>
        </w:tc>
      </w:tr>
      <w:tr>
        <w:trPr>
          <w:cantSplit/>
          <w:tblHeader w:val="false"/>
        </w:trPr>
        <w:tc>
          <w:tcPr>
            <w:tcW w:type="dxa" w:w="3200"/>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min_anotadores</w:t>
            </w:r>
          </w:p>
        </w:tc>
        <w:tc>
          <w:tcPr>
            <w:tcW w:type="dxa" w:w="2400"/>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3</w:t>
            </w:r>
          </w:p>
        </w:tc>
        <w:tc>
          <w:tcPr>
            <w:tcW w:type="dxa" w:w="3072"/>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critério de inclusão do nódulo</w:t>
            </w:r>
          </w:p>
        </w:tc>
      </w:tr>
      <w:tr>
        <w:trPr>
          <w:cantSplit/>
          <w:tblHeader w:val="false"/>
        </w:trPr>
        <w:tc>
          <w:tcPr>
            <w:tcW w:type="dxa" w:w="3200"/>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diametro_min_mm</w:t>
            </w:r>
          </w:p>
        </w:tc>
        <w:tc>
          <w:tcPr>
            <w:tcW w:type="dxa" w:w="2400"/>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3.0 mm</w:t>
            </w:r>
          </w:p>
        </w:tc>
        <w:tc>
          <w:tcPr>
            <w:tcW w:type="dxa" w:w="3072"/>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critério de inclusão do nódulo</w:t>
            </w:r>
          </w:p>
        </w:tc>
      </w:tr>
      <w:tr>
        <w:trPr>
          <w:cantSplit/>
          <w:tblHeader w:val="false"/>
        </w:trPr>
        <w:tc>
          <w:tcPr>
            <w:tcW w:type="dxa" w:w="3200"/>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regra_rotulo</w:t>
            </w:r>
          </w:p>
        </w:tc>
        <w:tc>
          <w:tcPr>
            <w:tcW w:type="dxa" w:w="2400"/>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mediana</w:t>
            </w:r>
          </w:p>
        </w:tc>
        <w:tc>
          <w:tcPr>
            <w:tcW w:type="dxa" w:w="3072"/>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PENDENTE — decisão não fechada pelo grupo</w:t>
            </w:r>
          </w:p>
        </w:tc>
      </w:tr>
      <w:tr>
        <w:trPr>
          <w:cantSplit/>
          <w:tblHeader w:val="false"/>
        </w:trPr>
        <w:tc>
          <w:tcPr>
            <w:tcW w:type="dxa" w:w="3200"/>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corte</w:t>
            </w:r>
          </w:p>
        </w:tc>
        <w:tc>
          <w:tcPr>
            <w:tcW w:type="dxa" w:w="2400"/>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3</w:t>
            </w:r>
          </w:p>
        </w:tc>
        <w:tc>
          <w:tcPr>
            <w:tcW w:type="dxa" w:w="3072"/>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ponto de corte do rótulo binário</w:t>
            </w:r>
          </w:p>
        </w:tc>
      </w:tr>
      <w:tr>
        <w:trPr>
          <w:cantSplit/>
          <w:tblHeader w:val="false"/>
        </w:trPr>
        <w:tc>
          <w:tcPr>
            <w:tcW w:type="dxa" w:w="3200"/>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tratamento_valor_central_3</w:t>
            </w:r>
          </w:p>
        </w:tc>
        <w:tc>
          <w:tcPr>
            <w:tcW w:type="dxa" w:w="2400"/>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marcar</w:t>
            </w:r>
          </w:p>
        </w:tc>
        <w:tc>
          <w:tcPr>
            <w:tcW w:type="dxa" w:w="3072"/>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PENDENTE — nódulos indeterminados preservados, não excluídos</w:t>
            </w:r>
          </w:p>
        </w:tc>
      </w:tr>
      <w:tr>
        <w:trPr>
          <w:cantSplit/>
          <w:tblHeader w:val="false"/>
        </w:trPr>
        <w:tc>
          <w:tcPr>
            <w:tcW w:type="dxa" w:w="3200"/>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n_pacientes_piloto</w:t>
            </w:r>
          </w:p>
        </w:tc>
        <w:tc>
          <w:tcPr>
            <w:tcW w:type="dxa" w:w="2400"/>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25</w:t>
            </w:r>
          </w:p>
        </w:tc>
        <w:tc>
          <w:tcPr>
            <w:tcW w:type="dxa" w:w="3072"/>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escopo desta rodada</w:t>
            </w:r>
          </w:p>
        </w:tc>
      </w:tr>
      <w:tr>
        <w:trPr>
          <w:cantSplit/>
          <w:tblHeader w:val="false"/>
        </w:trPr>
        <w:tc>
          <w:tcPr>
            <w:tcW w:type="dxa" w:w="3200"/>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arquivar_tar_no_drive</w:t>
            </w:r>
          </w:p>
        </w:tc>
        <w:tc>
          <w:tcPr>
            <w:tcW w:type="dxa" w:w="2400"/>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True</w:t>
            </w:r>
          </w:p>
        </w:tc>
        <w:tc>
          <w:tcPr>
            <w:tcW w:type="dxa" w:w="3072"/>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os .tar desta rodada foram preservados no Drive</w:t>
            </w:r>
          </w:p>
        </w:tc>
      </w:tr>
      <w:tr>
        <w:trPr>
          <w:cantSplit/>
          <w:tblHeader w:val="false"/>
        </w:trPr>
        <w:tc>
          <w:tcPr>
            <w:tcW w:type="dxa" w:w="3200"/>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max_tentativas_extracao</w:t>
            </w:r>
          </w:p>
        </w:tc>
        <w:tc>
          <w:tcPr>
            <w:tcW w:type="dxa" w:w="2400"/>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2</w:t>
            </w:r>
          </w:p>
        </w:tc>
        <w:tc>
          <w:tcPr>
            <w:tcW w:type="dxa" w:w="3072"/>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novo na v2 — ver Seção 4.2</w:t>
            </w:r>
          </w:p>
        </w:tc>
      </w:tr>
    </w:tbl>
    <w:p>
      <w:pPr>
        <w:spacing w:after="240" w:before="80" w:line="240"/>
      </w:pPr>
      <w:r>
        <w:rPr>
          <w:rFonts w:ascii="Times New Roman" w:cs="Times New Roman" w:eastAsia="Times New Roman" w:hAnsi="Times New Roman"/>
          <w:color w:val="000000"/>
          <w:sz w:val="20"/>
          <w:szCs w:val="20"/>
        </w:rPr>
        <w:t xml:space="preserve">Fonte: config_piloto_v2.json (pasta config/ no Drive).</w:t>
      </w:r>
    </w:p>
    <w:p>
      <w:pPr>
        <w:spacing w:after="0" w:line="360"/>
        <w:ind w:firstLine="709"/>
        <w:jc w:val="both"/>
      </w:pPr>
      <w:r>
        <w:rPr>
          <w:rFonts w:ascii="Times New Roman" w:cs="Times New Roman" w:eastAsia="Times New Roman" w:hAnsi="Times New Roman"/>
          <w:color w:val="000000"/>
          <w:sz w:val="24"/>
          <w:szCs w:val="24"/>
        </w:rPr>
        <w:t xml:space="preserve">Observação sobre a discretização: van Timmeren et al. (2020) recomendam largura fixa (binWidth) para escalas físicas como a TC, e Haarburger et al. (2020) usaram 25 HU no próprio LIDC-IDRI. A Rodada 2 manteve binCount = 64, a configuração provisória original do grupo, para isolar o efeito da correção de código sem introduzir uma segunda variável ao mesmo tempo. Uma rodada futura com binWidth = 25 permitiria comparação direta com Haarburger et al., mas isso é decisão em aberto, não uma correção desta rodada.</w:t>
      </w:r>
    </w:p>
    <w:p>
      <w:pPr>
        <w:spacing w:after="0" w:line="360"/>
        <w:ind w:firstLine="709"/>
        <w:jc w:val="both"/>
      </w:pPr>
      <w:r>
        <w:rPr>
          <w:rFonts w:ascii="Times New Roman" w:cs="Times New Roman" w:eastAsia="Times New Roman" w:hAnsi="Times New Roman"/>
          <w:color w:val="000000"/>
          <w:sz w:val="24"/>
          <w:szCs w:val="24"/>
        </w:rPr>
        <w:t xml:space="preserve">Decisões ainda não fechadas pelo grupo, mantidas como parâmetro provisório nesta rodada:</w:t>
      </w:r>
    </w:p>
    <w:p>
      <w:pPr>
        <w:pStyle w:val="ListParagraph"/>
        <w:numPr>
          <w:ilvl w:val="0"/>
          <w:numId w:val="1"/>
        </w:numPr>
        <w:spacing w:after="0" w:line="360"/>
        <w:jc w:val="both"/>
      </w:pPr>
      <w:r>
        <w:rPr>
          <w:rFonts w:ascii="Times New Roman" w:cs="Times New Roman" w:eastAsia="Times New Roman" w:hAnsi="Times New Roman"/>
          <w:color w:val="000000"/>
          <w:sz w:val="24"/>
          <w:szCs w:val="24"/>
        </w:rPr>
        <w:t xml:space="preserve">Regra de consolidação do rótulo binário (mediana, média ou moda) e o ponto de corte.</w:t>
      </w:r>
    </w:p>
    <w:p>
      <w:pPr>
        <w:pStyle w:val="ListParagraph"/>
        <w:numPr>
          <w:ilvl w:val="0"/>
          <w:numId w:val="1"/>
        </w:numPr>
        <w:spacing w:after="0" w:line="360"/>
        <w:jc w:val="both"/>
      </w:pPr>
      <w:r>
        <w:rPr>
          <w:rFonts w:ascii="Times New Roman" w:cs="Times New Roman" w:eastAsia="Times New Roman" w:hAnsi="Times New Roman"/>
          <w:color w:val="000000"/>
          <w:sz w:val="24"/>
          <w:szCs w:val="24"/>
        </w:rPr>
        <w:t xml:space="preserve">Tratamento dos nódulos com valor central igual a 3 (marcar como indeterminado, excluir, ou atribuir a uma das duas classes). Na Rodada 1, isso afetou 38,6% dos nódulos extraídos — ver Seção 5.1.</w:t>
      </w:r>
    </w:p>
    <w:p>
      <w:pPr>
        <w:pStyle w:val="ListParagraph"/>
        <w:numPr>
          <w:ilvl w:val="0"/>
          <w:numId w:val="1"/>
        </w:numPr>
        <w:spacing w:after="0" w:line="360"/>
        <w:jc w:val="both"/>
      </w:pPr>
      <w:r>
        <w:rPr>
          <w:rFonts w:ascii="Times New Roman" w:cs="Times New Roman" w:eastAsia="Times New Roman" w:hAnsi="Times New Roman"/>
          <w:color w:val="000000"/>
          <w:sz w:val="24"/>
          <w:szCs w:val="24"/>
        </w:rPr>
        <w:t xml:space="preserve">Estratégia de consolidação de máscara (consenso, união, interseção ou leitor único).</w:t>
      </w:r>
    </w:p>
    <w:p>
      <w:pPr>
        <w:pStyle w:val="ListParagraph"/>
        <w:numPr>
          <w:ilvl w:val="0"/>
          <w:numId w:val="1"/>
        </w:numPr>
        <w:spacing w:after="0" w:line="360"/>
        <w:jc w:val="both"/>
      </w:pPr>
      <w:r>
        <w:rPr>
          <w:rFonts w:ascii="Times New Roman" w:cs="Times New Roman" w:eastAsia="Times New Roman" w:hAnsi="Times New Roman"/>
          <w:color w:val="000000"/>
          <w:sz w:val="24"/>
          <w:szCs w:val="24"/>
        </w:rPr>
        <w:t xml:space="preserve">Número mínimo de anotadores exigido por nódulo.</w:t>
      </w:r>
    </w:p>
    <w:p>
      <w:pPr>
        <w:pStyle w:val="Heading2"/>
        <w:spacing w:after="200" w:before="280" w:line="360"/>
      </w:pPr>
      <w:r>
        <w:rPr>
          <w:rFonts w:ascii="Times New Roman" w:cs="Times New Roman" w:eastAsia="Times New Roman" w:hAnsi="Times New Roman"/>
          <w:b/>
          <w:bCs/>
          <w:color w:val="000000"/>
          <w:sz w:val="24"/>
          <w:szCs w:val="24"/>
        </w:rPr>
        <w:t xml:space="preserve">3.4 Verificação da proporção de nódulos indeterminados no conjunto completo</w:t>
      </w:r>
    </w:p>
    <w:p>
      <w:pPr>
        <w:spacing w:after="0" w:line="360"/>
        <w:ind w:firstLine="709"/>
        <w:jc w:val="both"/>
      </w:pPr>
      <w:r>
        <w:rPr>
          <w:rFonts w:ascii="Times New Roman" w:cs="Times New Roman" w:eastAsia="Times New Roman" w:hAnsi="Times New Roman"/>
          <w:color w:val="000000"/>
          <w:sz w:val="24"/>
          <w:szCs w:val="24"/>
        </w:rPr>
        <w:t xml:space="preserve">O piloto, ao processar os primeiros 25 pacientes em ordem alfabética de identificador, encontrou 38,6% dos nódulos com valor central igual a 3. Antes de tratar esse número como representativo, duas dúvidas precisavam ser resolvidas: se o percentual se sustentaria no conjunto completo, e se a ordem de seleção dos 25 pacientes (sequencial, não aleatória) poderia ter enviesado o resultado.</w:t>
      </w:r>
    </w:p>
    <w:p>
      <w:pPr>
        <w:spacing w:after="0" w:line="360"/>
        <w:ind w:firstLine="709"/>
        <w:jc w:val="both"/>
      </w:pPr>
      <w:r>
        <w:rPr>
          <w:rFonts w:ascii="Times New Roman" w:cs="Times New Roman" w:eastAsia="Times New Roman" w:hAnsi="Times New Roman"/>
          <w:color w:val="000000"/>
          <w:sz w:val="24"/>
          <w:szCs w:val="24"/>
        </w:rPr>
        <w:t xml:space="preserve">As notas de malignidade atribuídas por cada radiologista, junto com os contornos de anotação usados para agrupar nódulos, fazem parte da base de dados que acompanha o pacote pylidc, independentemente de qualquer imagem de tomografia estar em disco. Isso permitiu calcular a proporção real de nódulos indeterminados em todo o conjunto de pacientes do LIDC-IDRI, aplicando os mesmos critérios de elegibilidade do pipeline (mínimo de 3 anotadores, diâmetro médio mínimo de 3 mm), sem baixar nenhuma imagem.</w:t>
      </w:r>
    </w:p>
    <w:p>
      <w:pPr>
        <w:keepNext/>
        <w:spacing w:after="80" w:before="240" w:line="240"/>
      </w:pPr>
      <w:r>
        <w:rPr>
          <w:rFonts w:ascii="Times New Roman" w:cs="Times New Roman" w:eastAsia="Times New Roman" w:hAnsi="Times New Roman"/>
          <w:color w:val="000000"/>
          <w:sz w:val="20"/>
          <w:szCs w:val="20"/>
        </w:rPr>
        <w:t xml:space="preserve">Quadro 3.1 - Proporção de nódulos indeterminados: piloto versus conjunto completo</w:t>
      </w:r>
    </w:p>
    <w:tbl>
      <w:tblPr>
        <w:tblW w:type="dxa" w:w="8672"/>
        <w:tblBorders>
          <w:top w:val="single" w:color="auto" w:sz="4"/>
          <w:left w:val="single" w:color="auto" w:sz="4"/>
          <w:bottom w:val="single" w:color="auto" w:sz="4"/>
          <w:right w:val="single" w:color="auto" w:sz="4"/>
          <w:insideH w:val="single" w:color="auto" w:sz="4"/>
          <w:insideV w:val="single" w:color="auto" w:sz="4"/>
        </w:tblBorders>
      </w:tblPr>
      <w:tblGrid>
        <w:gridCol w:w="3400"/>
        <w:gridCol w:w="2536"/>
        <w:gridCol w:w="2736"/>
      </w:tblGrid>
      <w:tr>
        <w:trPr>
          <w:cantSplit/>
          <w:tblHeader/>
        </w:trPr>
        <w:tc>
          <w:tcPr>
            <w:tcW w:type="dxa" w:w="3400"/>
            <w:shd w:fill="D9D9D9" w:color="auto" w:val="clear"/>
            <w:tcMar>
              <w:top w:type="dxa" w:w="70"/>
              <w:left w:type="dxa" w:w="100"/>
              <w:bottom w:type="dxa" w:w="70"/>
              <w:right w:type="dxa" w:w="100"/>
            </w:tcMar>
          </w:tcPr>
          <w:p>
            <w:pPr>
              <w:spacing w:after="0" w:line="240"/>
            </w:pPr>
            <w:r>
              <w:rPr>
                <w:rFonts w:ascii="Times New Roman" w:cs="Times New Roman" w:eastAsia="Times New Roman" w:hAnsi="Times New Roman"/>
                <w:b/>
                <w:bCs/>
                <w:i w:val="false"/>
                <w:iCs w:val="false"/>
                <w:color w:val="000000"/>
                <w:sz w:val="20"/>
                <w:szCs w:val="20"/>
              </w:rPr>
              <w:t xml:space="preserve">Base</w:t>
            </w:r>
          </w:p>
        </w:tc>
        <w:tc>
          <w:tcPr>
            <w:tcW w:type="dxa" w:w="2536"/>
            <w:shd w:fill="D9D9D9" w:color="auto" w:val="clear"/>
            <w:tcMar>
              <w:top w:type="dxa" w:w="70"/>
              <w:left w:type="dxa" w:w="100"/>
              <w:bottom w:type="dxa" w:w="70"/>
              <w:right w:type="dxa" w:w="100"/>
            </w:tcMar>
          </w:tcPr>
          <w:p>
            <w:pPr>
              <w:spacing w:after="0" w:line="240"/>
            </w:pPr>
            <w:r>
              <w:rPr>
                <w:rFonts w:ascii="Times New Roman" w:cs="Times New Roman" w:eastAsia="Times New Roman" w:hAnsi="Times New Roman"/>
                <w:b/>
                <w:bCs/>
                <w:i w:val="false"/>
                <w:iCs w:val="false"/>
                <w:color w:val="000000"/>
                <w:sz w:val="20"/>
                <w:szCs w:val="20"/>
              </w:rPr>
              <w:t xml:space="preserve">Nódulos elegíveis</w:t>
            </w:r>
          </w:p>
        </w:tc>
        <w:tc>
          <w:tcPr>
            <w:tcW w:type="dxa" w:w="2736"/>
            <w:shd w:fill="D9D9D9" w:color="auto" w:val="clear"/>
            <w:tcMar>
              <w:top w:type="dxa" w:w="70"/>
              <w:left w:type="dxa" w:w="100"/>
              <w:bottom w:type="dxa" w:w="70"/>
              <w:right w:type="dxa" w:w="100"/>
            </w:tcMar>
          </w:tcPr>
          <w:p>
            <w:pPr>
              <w:spacing w:after="0" w:line="240"/>
            </w:pPr>
            <w:r>
              <w:rPr>
                <w:rFonts w:ascii="Times New Roman" w:cs="Times New Roman" w:eastAsia="Times New Roman" w:hAnsi="Times New Roman"/>
                <w:b/>
                <w:bCs/>
                <w:i w:val="false"/>
                <w:iCs w:val="false"/>
                <w:color w:val="000000"/>
                <w:sz w:val="20"/>
                <w:szCs w:val="20"/>
              </w:rPr>
              <w:t xml:space="preserve">Indeterminados (valor central = 3)</w:t>
            </w:r>
          </w:p>
        </w:tc>
      </w:tr>
      <w:tr>
        <w:trPr>
          <w:cantSplit/>
          <w:tblHeader w:val="false"/>
        </w:trPr>
        <w:tc>
          <w:tcPr>
            <w:tcW w:type="dxa" w:w="3400"/>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Amostra sequencial do piloto (25 pacientes)</w:t>
            </w:r>
          </w:p>
        </w:tc>
        <w:tc>
          <w:tcPr>
            <w:tcW w:type="dxa" w:w="2536"/>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54</w:t>
            </w:r>
          </w:p>
        </w:tc>
        <w:tc>
          <w:tcPr>
            <w:tcW w:type="dxa" w:w="2736"/>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21 (38,9%)</w:t>
            </w:r>
          </w:p>
        </w:tc>
      </w:tr>
      <w:tr>
        <w:trPr>
          <w:cantSplit/>
          <w:tblHeader w:val="false"/>
        </w:trPr>
        <w:tc>
          <w:tcPr>
            <w:tcW w:type="dxa" w:w="3400"/>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Conjunto completo, sob os mesmos critérios (696 pacientes elegíveis)</w:t>
            </w:r>
          </w:p>
        </w:tc>
        <w:tc>
          <w:tcPr>
            <w:tcW w:type="dxa" w:w="2536"/>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1.392</w:t>
            </w:r>
          </w:p>
        </w:tc>
        <w:tc>
          <w:tcPr>
            <w:tcW w:type="dxa" w:w="2736"/>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513 (36,9%)</w:t>
            </w:r>
          </w:p>
        </w:tc>
      </w:tr>
      <w:tr>
        <w:trPr>
          <w:cantSplit/>
          <w:tblHeader w:val="false"/>
        </w:trPr>
        <w:tc>
          <w:tcPr>
            <w:tcW w:type="dxa" w:w="3400"/>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Diferença absoluta</w:t>
            </w:r>
          </w:p>
        </w:tc>
        <w:tc>
          <w:tcPr>
            <w:tcW w:type="dxa" w:w="2536"/>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w:t>
            </w:r>
          </w:p>
        </w:tc>
        <w:tc>
          <w:tcPr>
            <w:tcW w:type="dxa" w:w="2736"/>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2,0 pontos percentuais</w:t>
            </w:r>
          </w:p>
        </w:tc>
      </w:tr>
    </w:tbl>
    <w:p>
      <w:pPr>
        <w:spacing w:after="240" w:before="80" w:line="240"/>
      </w:pPr>
      <w:r>
        <w:rPr>
          <w:rFonts w:ascii="Times New Roman" w:cs="Times New Roman" w:eastAsia="Times New Roman" w:hAnsi="Times New Roman"/>
          <w:color w:val="000000"/>
          <w:sz w:val="20"/>
          <w:szCs w:val="20"/>
        </w:rPr>
        <w:t xml:space="preserve">Fonte: notebook de verificação populacional (verificacao_populacional_valor_central_3.json, pasta logs/ no Drive).</w:t>
      </w:r>
    </w:p>
    <w:p>
      <w:pPr>
        <w:spacing w:after="0" w:line="360"/>
        <w:ind w:firstLine="709"/>
        <w:jc w:val="both"/>
      </w:pPr>
      <w:r>
        <w:rPr>
          <w:rFonts w:ascii="Times New Roman" w:cs="Times New Roman" w:eastAsia="Times New Roman" w:hAnsi="Times New Roman"/>
          <w:color w:val="000000"/>
          <w:sz w:val="24"/>
          <w:szCs w:val="24"/>
        </w:rPr>
        <w:t xml:space="preserve">É importante registrar que, dos 1.010 pacientes do LIDC-IDRI, apenas 696 tiveram ao menos um nódulo que atendesse aos critérios de elegibilidade do pipeline (mínimo de anotadores e diâmetro mínimo). O percentual de 36,9% refere-se, portanto, à proporção de nódulos indeterminados dentro do universo de nódulos elegíveis para o pipeline — o mesmo universo que a extração radiômica efetivamente processa — e não à totalidade bruta de nódulos anotados no conjunto original.</w:t>
      </w:r>
    </w:p>
    <w:p>
      <w:pPr>
        <w:spacing w:after="0" w:line="360"/>
        <w:ind w:firstLine="709"/>
        <w:jc w:val="both"/>
      </w:pPr>
      <w:r>
        <w:rPr>
          <w:rFonts w:ascii="Times New Roman" w:cs="Times New Roman" w:eastAsia="Times New Roman" w:hAnsi="Times New Roman"/>
          <w:color w:val="000000"/>
          <w:sz w:val="24"/>
          <w:szCs w:val="24"/>
        </w:rPr>
        <w:t xml:space="preserve">A diferença de 2,0 pontos percentuais entre a amostra sequencial do piloto e o conjunto completo é pequena diante da variação esperada para uma amostra desse tamanho: o próprio cálculo de convergência (Quadro 3.2) mostra que amostras aleatórias de 25 pacientes produziram percentuais entre 24,9% e 49,6% de intervalo de confiança de 95%, uma faixa que contém tanto o valor do piloto quanto o valor real da população. Não há, portanto, evidência de viés relevante introduzido pela ordem de seleção sequencial dos pacientes no piloto.</w:t>
      </w:r>
    </w:p>
    <w:p>
      <w:pPr>
        <w:keepNext/>
        <w:spacing w:after="80" w:before="240" w:line="240"/>
      </w:pPr>
      <w:r>
        <w:rPr>
          <w:rFonts w:ascii="Times New Roman" w:cs="Times New Roman" w:eastAsia="Times New Roman" w:hAnsi="Times New Roman"/>
          <w:color w:val="000000"/>
          <w:sz w:val="20"/>
          <w:szCs w:val="20"/>
        </w:rPr>
        <w:t xml:space="preserve">Quadro 3.2 - Convergência da estimativa com o tamanho da amostra aleatória</w:t>
      </w:r>
    </w:p>
    <w:tbl>
      <w:tblPr>
        <w:tblW w:type="dxa" w:w="8672"/>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472"/>
        <w:gridCol w:w="2000"/>
      </w:tblGrid>
      <w:tr>
        <w:trPr>
          <w:cantSplit/>
          <w:tblHeader/>
        </w:trPr>
        <w:tc>
          <w:tcPr>
            <w:tcW w:type="dxa" w:w="2200"/>
            <w:shd w:fill="D9D9D9" w:color="auto" w:val="clear"/>
            <w:tcMar>
              <w:top w:type="dxa" w:w="70"/>
              <w:left w:type="dxa" w:w="100"/>
              <w:bottom w:type="dxa" w:w="70"/>
              <w:right w:type="dxa" w:w="100"/>
            </w:tcMar>
          </w:tcPr>
          <w:p>
            <w:pPr>
              <w:spacing w:after="0" w:line="240"/>
            </w:pPr>
            <w:r>
              <w:rPr>
                <w:rFonts w:ascii="Times New Roman" w:cs="Times New Roman" w:eastAsia="Times New Roman" w:hAnsi="Times New Roman"/>
                <w:b/>
                <w:bCs/>
                <w:i w:val="false"/>
                <w:iCs w:val="false"/>
                <w:color w:val="000000"/>
                <w:sz w:val="20"/>
                <w:szCs w:val="20"/>
              </w:rPr>
              <w:t xml:space="preserve">Pacientes sorteados</w:t>
            </w:r>
          </w:p>
        </w:tc>
        <w:tc>
          <w:tcPr>
            <w:tcW w:type="dxa" w:w="2000"/>
            <w:shd w:fill="D9D9D9" w:color="auto" w:val="clear"/>
            <w:tcMar>
              <w:top w:type="dxa" w:w="70"/>
              <w:left w:type="dxa" w:w="100"/>
              <w:bottom w:type="dxa" w:w="70"/>
              <w:right w:type="dxa" w:w="100"/>
            </w:tcMar>
          </w:tcPr>
          <w:p>
            <w:pPr>
              <w:spacing w:after="0" w:line="240"/>
            </w:pPr>
            <w:r>
              <w:rPr>
                <w:rFonts w:ascii="Times New Roman" w:cs="Times New Roman" w:eastAsia="Times New Roman" w:hAnsi="Times New Roman"/>
                <w:b/>
                <w:bCs/>
                <w:i w:val="false"/>
                <w:iCs w:val="false"/>
                <w:color w:val="000000"/>
                <w:sz w:val="20"/>
                <w:szCs w:val="20"/>
              </w:rPr>
              <w:t xml:space="preserve">Nódulos na amostra</w:t>
            </w:r>
          </w:p>
        </w:tc>
        <w:tc>
          <w:tcPr>
            <w:tcW w:type="dxa" w:w="2472"/>
            <w:shd w:fill="D9D9D9" w:color="auto" w:val="clear"/>
            <w:tcMar>
              <w:top w:type="dxa" w:w="70"/>
              <w:left w:type="dxa" w:w="100"/>
              <w:bottom w:type="dxa" w:w="70"/>
              <w:right w:type="dxa" w:w="100"/>
            </w:tcMar>
          </w:tcPr>
          <w:p>
            <w:pPr>
              <w:spacing w:after="0" w:line="240"/>
            </w:pPr>
            <w:r>
              <w:rPr>
                <w:rFonts w:ascii="Times New Roman" w:cs="Times New Roman" w:eastAsia="Times New Roman" w:hAnsi="Times New Roman"/>
                <w:b/>
                <w:bCs/>
                <w:i w:val="false"/>
                <w:iCs w:val="false"/>
                <w:color w:val="000000"/>
                <w:sz w:val="20"/>
                <w:szCs w:val="20"/>
              </w:rPr>
              <w:t xml:space="preserve">Indeterminados (%)</w:t>
            </w:r>
          </w:p>
        </w:tc>
        <w:tc>
          <w:tcPr>
            <w:tcW w:type="dxa" w:w="2000"/>
            <w:shd w:fill="D9D9D9" w:color="auto" w:val="clear"/>
            <w:tcMar>
              <w:top w:type="dxa" w:w="70"/>
              <w:left w:type="dxa" w:w="100"/>
              <w:bottom w:type="dxa" w:w="70"/>
              <w:right w:type="dxa" w:w="100"/>
            </w:tcMar>
          </w:tcPr>
          <w:p>
            <w:pPr>
              <w:spacing w:after="0" w:line="240"/>
            </w:pPr>
            <w:r>
              <w:rPr>
                <w:rFonts w:ascii="Times New Roman" w:cs="Times New Roman" w:eastAsia="Times New Roman" w:hAnsi="Times New Roman"/>
                <w:b/>
                <w:bCs/>
                <w:i w:val="false"/>
                <w:iCs w:val="false"/>
                <w:color w:val="000000"/>
                <w:sz w:val="20"/>
                <w:szCs w:val="20"/>
              </w:rPr>
              <w:t xml:space="preserve">IC 95%</w:t>
            </w:r>
          </w:p>
        </w:tc>
      </w:tr>
      <w:tr>
        <w:trPr>
          <w:cantSplit/>
          <w:tblHeader w:val="false"/>
        </w:trPr>
        <w:tc>
          <w:tcPr>
            <w:tcW w:type="dxa" w:w="2200"/>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25</w:t>
            </w:r>
          </w:p>
        </w:tc>
        <w:tc>
          <w:tcPr>
            <w:tcW w:type="dxa" w:w="2000"/>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55</w:t>
            </w:r>
          </w:p>
        </w:tc>
        <w:tc>
          <w:tcPr>
            <w:tcW w:type="dxa" w:w="2472"/>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36,4%</w:t>
            </w:r>
          </w:p>
        </w:tc>
        <w:tc>
          <w:tcPr>
            <w:tcW w:type="dxa" w:w="2000"/>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24,9% - 49,6%</w:t>
            </w:r>
          </w:p>
        </w:tc>
      </w:tr>
      <w:tr>
        <w:trPr>
          <w:cantSplit/>
          <w:tblHeader w:val="false"/>
        </w:trPr>
        <w:tc>
          <w:tcPr>
            <w:tcW w:type="dxa" w:w="2200"/>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50</w:t>
            </w:r>
          </w:p>
        </w:tc>
        <w:tc>
          <w:tcPr>
            <w:tcW w:type="dxa" w:w="2000"/>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109</w:t>
            </w:r>
          </w:p>
        </w:tc>
        <w:tc>
          <w:tcPr>
            <w:tcW w:type="dxa" w:w="2472"/>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43,1%</w:t>
            </w:r>
          </w:p>
        </w:tc>
        <w:tc>
          <w:tcPr>
            <w:tcW w:type="dxa" w:w="2000"/>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34,2% - 52,5%</w:t>
            </w:r>
          </w:p>
        </w:tc>
      </w:tr>
      <w:tr>
        <w:trPr>
          <w:cantSplit/>
          <w:tblHeader w:val="false"/>
        </w:trPr>
        <w:tc>
          <w:tcPr>
            <w:tcW w:type="dxa" w:w="2200"/>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100</w:t>
            </w:r>
          </w:p>
        </w:tc>
        <w:tc>
          <w:tcPr>
            <w:tcW w:type="dxa" w:w="2000"/>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194</w:t>
            </w:r>
          </w:p>
        </w:tc>
        <w:tc>
          <w:tcPr>
            <w:tcW w:type="dxa" w:w="2472"/>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39,7%</w:t>
            </w:r>
          </w:p>
        </w:tc>
        <w:tc>
          <w:tcPr>
            <w:tcW w:type="dxa" w:w="2000"/>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33,1% - 46,7%</w:t>
            </w:r>
          </w:p>
        </w:tc>
      </w:tr>
      <w:tr>
        <w:trPr>
          <w:cantSplit/>
          <w:tblHeader w:val="false"/>
        </w:trPr>
        <w:tc>
          <w:tcPr>
            <w:tcW w:type="dxa" w:w="2200"/>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200</w:t>
            </w:r>
          </w:p>
        </w:tc>
        <w:tc>
          <w:tcPr>
            <w:tcW w:type="dxa" w:w="2000"/>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370</w:t>
            </w:r>
          </w:p>
        </w:tc>
        <w:tc>
          <w:tcPr>
            <w:tcW w:type="dxa" w:w="2472"/>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34,3%</w:t>
            </w:r>
          </w:p>
        </w:tc>
        <w:tc>
          <w:tcPr>
            <w:tcW w:type="dxa" w:w="2000"/>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29,7% - 39,3%</w:t>
            </w:r>
          </w:p>
        </w:tc>
      </w:tr>
      <w:tr>
        <w:trPr>
          <w:cantSplit/>
          <w:tblHeader w:val="false"/>
        </w:trPr>
        <w:tc>
          <w:tcPr>
            <w:tcW w:type="dxa" w:w="2200"/>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500</w:t>
            </w:r>
          </w:p>
        </w:tc>
        <w:tc>
          <w:tcPr>
            <w:tcW w:type="dxa" w:w="2000"/>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972</w:t>
            </w:r>
          </w:p>
        </w:tc>
        <w:tc>
          <w:tcPr>
            <w:tcW w:type="dxa" w:w="2472"/>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38,1%</w:t>
            </w:r>
          </w:p>
        </w:tc>
        <w:tc>
          <w:tcPr>
            <w:tcW w:type="dxa" w:w="2000"/>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35,1% - 41,2%</w:t>
            </w:r>
          </w:p>
        </w:tc>
      </w:tr>
      <w:tr>
        <w:trPr>
          <w:cantSplit/>
          <w:tblHeader w:val="false"/>
        </w:trPr>
        <w:tc>
          <w:tcPr>
            <w:tcW w:type="dxa" w:w="2200"/>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696 (conjunto completo)</w:t>
            </w:r>
          </w:p>
        </w:tc>
        <w:tc>
          <w:tcPr>
            <w:tcW w:type="dxa" w:w="2000"/>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1.392</w:t>
            </w:r>
          </w:p>
        </w:tc>
        <w:tc>
          <w:tcPr>
            <w:tcW w:type="dxa" w:w="2472"/>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36,9%</w:t>
            </w:r>
          </w:p>
        </w:tc>
        <w:tc>
          <w:tcPr>
            <w:tcW w:type="dxa" w:w="2000"/>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34,4% - 39,4%</w:t>
            </w:r>
          </w:p>
        </w:tc>
      </w:tr>
    </w:tbl>
    <w:p>
      <w:pPr>
        <w:spacing w:after="240" w:before="80" w:line="240"/>
      </w:pPr>
      <w:r>
        <w:rPr>
          <w:rFonts w:ascii="Times New Roman" w:cs="Times New Roman" w:eastAsia="Times New Roman" w:hAnsi="Times New Roman"/>
          <w:color w:val="000000"/>
          <w:sz w:val="20"/>
          <w:szCs w:val="20"/>
        </w:rPr>
        <w:t xml:space="preserve">Fonte: notebook de verificação populacional, amostras aleatórias com semente fixa (42), método de Wilson para o intervalo de confiança.</w:t>
      </w:r>
    </w:p>
    <w:p>
      <w:pPr>
        <w:spacing w:after="0" w:line="360"/>
        <w:ind w:firstLine="709"/>
        <w:jc w:val="both"/>
      </w:pPr>
      <w:r>
        <w:rPr>
          <w:rFonts w:ascii="Times New Roman" w:cs="Times New Roman" w:eastAsia="Times New Roman" w:hAnsi="Times New Roman"/>
          <w:color w:val="000000"/>
          <w:sz w:val="24"/>
          <w:szCs w:val="24"/>
        </w:rPr>
        <w:t xml:space="preserve">A conclusão desta verificação é dupla. Primeiro, a hipótese levantada no piloto é confirmada: a proporção de nódulos em zona indeterminada não é uma peculiaridade da amostra pequena, mas uma característica estrutural do conjunto de dados, na faixa de 35% a 39% do universo elegível. Segundo, a decisão de tratamento do valor central 3, listada como pendente na Seção 3.3, mantém-se como a decisão de maior impacto entre as quatro ainda em aberto, visto que afeta um terço a dois quintos dos nódulos que o pipeline efetivamente processa, e não uma fração residual dos dados.</w:t>
      </w:r>
    </w:p>
    <w:p>
      <w:pPr>
        <w:pStyle w:val="Heading2"/>
        <w:spacing w:after="200" w:before="280" w:line="360"/>
      </w:pPr>
      <w:r>
        <w:rPr>
          <w:rFonts w:ascii="Times New Roman" w:cs="Times New Roman" w:eastAsia="Times New Roman" w:hAnsi="Times New Roman"/>
          <w:b/>
          <w:bCs/>
          <w:color w:val="000000"/>
          <w:sz w:val="24"/>
          <w:szCs w:val="24"/>
        </w:rPr>
        <w:t xml:space="preserve">3.5 Comparação de discretização: binCount=64 (v2) versus binWidth=25 HU</w:t>
      </w:r>
    </w:p>
    <w:p>
      <w:pPr>
        <w:spacing w:after="0" w:line="360"/>
        <w:ind w:firstLine="709"/>
        <w:jc w:val="both"/>
      </w:pPr>
      <w:r>
        <w:rPr>
          <w:rFonts w:ascii="Times New Roman" w:cs="Times New Roman" w:eastAsia="Times New Roman" w:hAnsi="Times New Roman"/>
          <w:color w:val="000000"/>
          <w:sz w:val="24"/>
          <w:szCs w:val="24"/>
        </w:rPr>
        <w:t xml:space="preserve">Uma segunda verificação foi conduzida para avaliar o impacto do modo de discretização de intensidade sobre os atributos extraídos, comparando a configuração provisória do grupo (binCount=64) com a configuração usada por Haarburger et al. (2020) no próprio LIDC-IDRI (binWidth=25 HU). Todos os demais parâmetros do pipeline — máscara, espaçamento, interpolador, critérios de elegibilidade e regra de rótulo — foram mantidos idênticos entre as duas configurações, de modo que qualquer diferença observada seja atribuível exclusivamente à discretização.</w:t>
      </w:r>
    </w:p>
    <w:p>
      <w:pPr>
        <w:spacing w:after="0" w:line="360"/>
        <w:ind w:firstLine="709"/>
        <w:jc w:val="both"/>
      </w:pPr>
      <w:r>
        <w:rPr>
          <w:rFonts w:ascii="Times New Roman" w:cs="Times New Roman" w:eastAsia="Times New Roman" w:hAnsi="Times New Roman"/>
          <w:color w:val="000000"/>
          <w:sz w:val="24"/>
          <w:szCs w:val="24"/>
        </w:rPr>
        <w:t xml:space="preserve">A primeira tentativa de comparação, usando um arquivo de resultados da Rodada 2 salvo em execução anterior, produziu um alerta: os atributos de forma, que por definição não dependem de discretização de intensidade, apresentaram diferença entre as duas configurações. Como isso não deveria ocorrer, a comparação foi refeita por completo, reextraindo a configuração binCount=64 dentro da mesma sessão e com o mesmo código usados para a configuração binWidth=25, eliminando qualquer inconsistência de ambiente entre execuções separadas. Repetida dessa forma, a diferença nos atributos de forma caiu a zero absoluto, confirmando que a divergência inicial era um artefato de comparação entre sessões distintas, e não um efeito real do parâmetro testado.</w:t>
      </w:r>
    </w:p>
    <w:p>
      <w:pPr>
        <w:keepNext/>
        <w:spacing w:after="80" w:before="240" w:line="240"/>
      </w:pPr>
      <w:r>
        <w:rPr>
          <w:rFonts w:ascii="Times New Roman" w:cs="Times New Roman" w:eastAsia="Times New Roman" w:hAnsi="Times New Roman"/>
          <w:color w:val="000000"/>
          <w:sz w:val="20"/>
          <w:szCs w:val="20"/>
        </w:rPr>
        <w:t xml:space="preserve">Quadro 3.3 - Verificação de controle: atributos de forma entre as duas discretizações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200"/>
        <w:gridCol w:w="2436"/>
        <w:gridCol w:w="2436"/>
      </w:tblGrid>
      <w:tr>
        <w:trPr>
          <w:cantSplit/>
          <w:tblHeader/>
        </w:trPr>
        <w:tc>
          <w:tcPr>
            <w:tcW w:type="dxa" w:w="4200"/>
            <w:shd w:fill="D9D9D9" w:color="auto" w:val="clear"/>
            <w:tcMar>
              <w:top w:type="dxa" w:w="70"/>
              <w:left w:type="dxa" w:w="100"/>
              <w:bottom w:type="dxa" w:w="70"/>
              <w:right w:type="dxa" w:w="100"/>
            </w:tcMar>
          </w:tcPr>
          <w:p>
            <w:pPr>
              <w:spacing w:after="0" w:line="240"/>
            </w:pPr>
            <w:r>
              <w:rPr>
                <w:rFonts w:ascii="Times New Roman" w:cs="Times New Roman" w:eastAsia="Times New Roman" w:hAnsi="Times New Roman"/>
                <w:b/>
                <w:bCs/>
                <w:i w:val="false"/>
                <w:iCs w:val="false"/>
                <w:color w:val="000000"/>
                <w:sz w:val="20"/>
                <w:szCs w:val="20"/>
              </w:rPr>
              <w:t xml:space="preserve">Verificação</w:t>
            </w:r>
          </w:p>
        </w:tc>
        <w:tc>
          <w:tcPr>
            <w:tcW w:type="dxa" w:w="2436"/>
            <w:shd w:fill="D9D9D9" w:color="auto" w:val="clear"/>
            <w:tcMar>
              <w:top w:type="dxa" w:w="70"/>
              <w:left w:type="dxa" w:w="100"/>
              <w:bottom w:type="dxa" w:w="70"/>
              <w:right w:type="dxa" w:w="100"/>
            </w:tcMar>
          </w:tcPr>
          <w:p>
            <w:pPr>
              <w:spacing w:after="0" w:line="240"/>
            </w:pPr>
            <w:r>
              <w:rPr>
                <w:rFonts w:ascii="Times New Roman" w:cs="Times New Roman" w:eastAsia="Times New Roman" w:hAnsi="Times New Roman"/>
                <w:b/>
                <w:bCs/>
                <w:i w:val="false"/>
                <w:iCs w:val="false"/>
                <w:color w:val="000000"/>
                <w:sz w:val="20"/>
                <w:szCs w:val="20"/>
              </w:rPr>
              <w:t xml:space="preserve">Primeira tentativa (arquivos de sessões distintas)</w:t>
            </w:r>
          </w:p>
        </w:tc>
        <w:tc>
          <w:tcPr>
            <w:tcW w:type="dxa" w:w="2436"/>
            <w:shd w:fill="D9D9D9" w:color="auto" w:val="clear"/>
            <w:tcMar>
              <w:top w:type="dxa" w:w="70"/>
              <w:left w:type="dxa" w:w="100"/>
              <w:bottom w:type="dxa" w:w="70"/>
              <w:right w:type="dxa" w:w="100"/>
            </w:tcMar>
          </w:tcPr>
          <w:p>
            <w:pPr>
              <w:spacing w:after="0" w:line="240"/>
            </w:pPr>
            <w:r>
              <w:rPr>
                <w:rFonts w:ascii="Times New Roman" w:cs="Times New Roman" w:eastAsia="Times New Roman" w:hAnsi="Times New Roman"/>
                <w:b/>
                <w:bCs/>
                <w:i w:val="false"/>
                <w:iCs w:val="false"/>
                <w:color w:val="000000"/>
                <w:sz w:val="20"/>
                <w:szCs w:val="20"/>
              </w:rPr>
              <w:t xml:space="preserve">Segunda tentativa (mesma sessão)</w:t>
            </w:r>
          </w:p>
        </w:tc>
      </w:tr>
      <w:tr>
        <w:trPr>
          <w:cantSplit/>
          <w:tblHeader w:val="false"/>
        </w:trPr>
        <w:tc>
          <w:tcPr>
            <w:tcW w:type="dxa" w:w="4200"/>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Nódulos comuns às duas configurações</w:t>
            </w:r>
          </w:p>
        </w:tc>
        <w:tc>
          <w:tcPr>
            <w:tcW w:type="dxa" w:w="2436"/>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44 de 44</w:t>
            </w:r>
          </w:p>
        </w:tc>
        <w:tc>
          <w:tcPr>
            <w:tcW w:type="dxa" w:w="2436"/>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44 de 44</w:t>
            </w:r>
          </w:p>
        </w:tc>
      </w:tr>
      <w:tr>
        <w:trPr>
          <w:cantSplit/>
          <w:tblHeader w:val="false"/>
        </w:trPr>
        <w:tc>
          <w:tcPr>
            <w:tcW w:type="dxa" w:w="4200"/>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Maior diferença absoluta em atributos de forma</w:t>
            </w:r>
          </w:p>
        </w:tc>
        <w:tc>
          <w:tcPr>
            <w:tcW w:type="dxa" w:w="2436"/>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66,25</w:t>
            </w:r>
          </w:p>
        </w:tc>
        <w:tc>
          <w:tcPr>
            <w:tcW w:type="dxa" w:w="2436"/>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0,00e+00</w:t>
            </w:r>
          </w:p>
        </w:tc>
      </w:tr>
      <w:tr>
        <w:trPr>
          <w:cantSplit/>
          <w:tblHeader w:val="false"/>
        </w:trPr>
        <w:tc>
          <w:tcPr>
            <w:tcW w:type="dxa" w:w="4200"/>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Conclusão</w:t>
            </w:r>
          </w:p>
        </w:tc>
        <w:tc>
          <w:tcPr>
            <w:tcW w:type="dxa" w:w="2436"/>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inválida para comparação — indício de inconsistência de ambiente</w:t>
            </w:r>
          </w:p>
        </w:tc>
        <w:tc>
          <w:tcPr>
            <w:tcW w:type="dxa" w:w="2436"/>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forma confirmada como invariante à discretização, como esperado</w:t>
            </w:r>
          </w:p>
        </w:tc>
      </w:tr>
    </w:tbl>
    <w:p>
      <w:pPr>
        <w:spacing w:after="240" w:before="80" w:line="240"/>
      </w:pPr>
      <w:r>
        <w:rPr>
          <w:rFonts w:ascii="Times New Roman" w:cs="Times New Roman" w:eastAsia="Times New Roman" w:hAnsi="Times New Roman"/>
          <w:color w:val="000000"/>
          <w:sz w:val="20"/>
          <w:szCs w:val="20"/>
        </w:rPr>
        <w:t xml:space="preserve">Fonte: notebook de comparação binCount/binWidth (comparacao_v2_v3_discretizacao.json, pasta features/ no Drive).</w:t>
      </w:r>
    </w:p>
    <w:p>
      <w:pPr>
        <w:spacing w:after="0" w:line="360"/>
        <w:ind w:firstLine="709"/>
        <w:jc w:val="both"/>
      </w:pPr>
      <w:r>
        <w:rPr>
          <w:rFonts w:ascii="Times New Roman" w:cs="Times New Roman" w:eastAsia="Times New Roman" w:hAnsi="Times New Roman"/>
          <w:color w:val="000000"/>
          <w:sz w:val="24"/>
          <w:szCs w:val="24"/>
        </w:rPr>
        <w:t xml:space="preserve">Com a verificação de controle validada, o efeito da discretização sobre as classes de atributos que dela dependem foi avaliado por meio da correlação de Spearman entre os valores obtidos nas duas configurações, para cada um dos 44 nódulos comuns.</w:t>
      </w:r>
    </w:p>
    <w:p>
      <w:pPr>
        <w:keepNext/>
        <w:spacing w:after="80" w:before="240" w:line="240"/>
      </w:pPr>
      <w:r>
        <w:rPr>
          <w:rFonts w:ascii="Times New Roman" w:cs="Times New Roman" w:eastAsia="Times New Roman" w:hAnsi="Times New Roman"/>
          <w:color w:val="000000"/>
          <w:sz w:val="20"/>
          <w:szCs w:val="20"/>
        </w:rPr>
        <w:t xml:space="preserve">Quadro 3.4 - Efeito da discretização por classe de atributo</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1636"/>
        <w:gridCol w:w="1836"/>
      </w:tblGrid>
      <w:tr>
        <w:trPr>
          <w:cantSplit/>
          <w:tblHeader/>
        </w:trPr>
        <w:tc>
          <w:tcPr>
            <w:tcW w:type="dxa" w:w="2000"/>
            <w:shd w:fill="D9D9D9" w:color="auto" w:val="clear"/>
            <w:tcMar>
              <w:top w:type="dxa" w:w="70"/>
              <w:left w:type="dxa" w:w="100"/>
              <w:bottom w:type="dxa" w:w="70"/>
              <w:right w:type="dxa" w:w="100"/>
            </w:tcMar>
          </w:tcPr>
          <w:p>
            <w:pPr>
              <w:spacing w:after="0" w:line="240"/>
            </w:pPr>
            <w:r>
              <w:rPr>
                <w:rFonts w:ascii="Times New Roman" w:cs="Times New Roman" w:eastAsia="Times New Roman" w:hAnsi="Times New Roman"/>
                <w:b/>
                <w:bCs/>
                <w:i w:val="false"/>
                <w:iCs w:val="false"/>
                <w:color w:val="000000"/>
                <w:sz w:val="20"/>
                <w:szCs w:val="20"/>
              </w:rPr>
              <w:t xml:space="preserve">Classe</w:t>
            </w:r>
          </w:p>
        </w:tc>
        <w:tc>
          <w:tcPr>
            <w:tcW w:type="dxa" w:w="1800"/>
            <w:shd w:fill="D9D9D9" w:color="auto" w:val="clear"/>
            <w:tcMar>
              <w:top w:type="dxa" w:w="70"/>
              <w:left w:type="dxa" w:w="100"/>
              <w:bottom w:type="dxa" w:w="70"/>
              <w:right w:type="dxa" w:w="100"/>
            </w:tcMar>
          </w:tcPr>
          <w:p>
            <w:pPr>
              <w:spacing w:after="0" w:line="240"/>
            </w:pPr>
            <w:r>
              <w:rPr>
                <w:rFonts w:ascii="Times New Roman" w:cs="Times New Roman" w:eastAsia="Times New Roman" w:hAnsi="Times New Roman"/>
                <w:b/>
                <w:bCs/>
                <w:i w:val="false"/>
                <w:iCs w:val="false"/>
                <w:color w:val="000000"/>
                <w:sz w:val="20"/>
                <w:szCs w:val="20"/>
              </w:rPr>
              <w:t xml:space="preserve">Atributos comparados</w:t>
            </w:r>
          </w:p>
        </w:tc>
        <w:tc>
          <w:tcPr>
            <w:tcW w:type="dxa" w:w="1800"/>
            <w:shd w:fill="D9D9D9" w:color="auto" w:val="clear"/>
            <w:tcMar>
              <w:top w:type="dxa" w:w="70"/>
              <w:left w:type="dxa" w:w="100"/>
              <w:bottom w:type="dxa" w:w="70"/>
              <w:right w:type="dxa" w:w="100"/>
            </w:tcMar>
          </w:tcPr>
          <w:p>
            <w:pPr>
              <w:spacing w:after="0" w:line="240"/>
            </w:pPr>
            <w:r>
              <w:rPr>
                <w:rFonts w:ascii="Times New Roman" w:cs="Times New Roman" w:eastAsia="Times New Roman" w:hAnsi="Times New Roman"/>
                <w:b/>
                <w:bCs/>
                <w:i w:val="false"/>
                <w:iCs w:val="false"/>
                <w:color w:val="000000"/>
                <w:sz w:val="20"/>
                <w:szCs w:val="20"/>
              </w:rPr>
              <w:t xml:space="preserve">Spearman médio</w:t>
            </w:r>
          </w:p>
        </w:tc>
        <w:tc>
          <w:tcPr>
            <w:tcW w:type="dxa" w:w="1636"/>
            <w:shd w:fill="D9D9D9" w:color="auto" w:val="clear"/>
            <w:tcMar>
              <w:top w:type="dxa" w:w="70"/>
              <w:left w:type="dxa" w:w="100"/>
              <w:bottom w:type="dxa" w:w="70"/>
              <w:right w:type="dxa" w:w="100"/>
            </w:tcMar>
          </w:tcPr>
          <w:p>
            <w:pPr>
              <w:spacing w:after="0" w:line="240"/>
            </w:pPr>
            <w:r>
              <w:rPr>
                <w:rFonts w:ascii="Times New Roman" w:cs="Times New Roman" w:eastAsia="Times New Roman" w:hAnsi="Times New Roman"/>
                <w:b/>
                <w:bCs/>
                <w:i w:val="false"/>
                <w:iCs w:val="false"/>
                <w:color w:val="000000"/>
                <w:sz w:val="20"/>
                <w:szCs w:val="20"/>
              </w:rPr>
              <w:t xml:space="preserve">Spearman mínimo</w:t>
            </w:r>
          </w:p>
        </w:tc>
        <w:tc>
          <w:tcPr>
            <w:tcW w:type="dxa" w:w="1836"/>
            <w:shd w:fill="D9D9D9" w:color="auto" w:val="clear"/>
            <w:tcMar>
              <w:top w:type="dxa" w:w="70"/>
              <w:left w:type="dxa" w:w="100"/>
              <w:bottom w:type="dxa" w:w="70"/>
              <w:right w:type="dxa" w:w="100"/>
            </w:tcMar>
          </w:tcPr>
          <w:p>
            <w:pPr>
              <w:spacing w:after="0" w:line="240"/>
            </w:pPr>
            <w:r>
              <w:rPr>
                <w:rFonts w:ascii="Times New Roman" w:cs="Times New Roman" w:eastAsia="Times New Roman" w:hAnsi="Times New Roman"/>
                <w:b/>
                <w:bCs/>
                <w:i w:val="false"/>
                <w:iCs w:val="false"/>
                <w:color w:val="000000"/>
                <w:sz w:val="20"/>
                <w:szCs w:val="20"/>
              </w:rPr>
              <w:t xml:space="preserve">Diferença % média</w:t>
            </w:r>
          </w:p>
        </w:tc>
      </w:tr>
      <w:tr>
        <w:trPr>
          <w:cantSplit/>
          <w:tblHeader w:val="false"/>
        </w:trPr>
        <w:tc>
          <w:tcPr>
            <w:tcW w:type="dxa" w:w="2000"/>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First order</w:t>
            </w:r>
          </w:p>
        </w:tc>
        <w:tc>
          <w:tcPr>
            <w:tcW w:type="dxa" w:w="1800"/>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18</w:t>
            </w:r>
          </w:p>
        </w:tc>
        <w:tc>
          <w:tcPr>
            <w:tcW w:type="dxa" w:w="1800"/>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0,962</w:t>
            </w:r>
          </w:p>
        </w:tc>
        <w:tc>
          <w:tcPr>
            <w:tcW w:type="dxa" w:w="1636"/>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0,568</w:t>
            </w:r>
          </w:p>
        </w:tc>
        <w:tc>
          <w:tcPr>
            <w:tcW w:type="dxa" w:w="1836"/>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4,3%</w:t>
            </w:r>
          </w:p>
        </w:tc>
      </w:tr>
      <w:tr>
        <w:trPr>
          <w:cantSplit/>
          <w:tblHeader w:val="false"/>
        </w:trPr>
        <w:tc>
          <w:tcPr>
            <w:tcW w:type="dxa" w:w="2000"/>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GLCM</w:t>
            </w:r>
          </w:p>
        </w:tc>
        <w:tc>
          <w:tcPr>
            <w:tcW w:type="dxa" w:w="1800"/>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24</w:t>
            </w:r>
          </w:p>
        </w:tc>
        <w:tc>
          <w:tcPr>
            <w:tcW w:type="dxa" w:w="1800"/>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0,704</w:t>
            </w:r>
          </w:p>
        </w:tc>
        <w:tc>
          <w:tcPr>
            <w:tcW w:type="dxa" w:w="1636"/>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0,214</w:t>
            </w:r>
          </w:p>
        </w:tc>
        <w:tc>
          <w:tcPr>
            <w:tcW w:type="dxa" w:w="1836"/>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44,2%</w:t>
            </w:r>
          </w:p>
        </w:tc>
      </w:tr>
      <w:tr>
        <w:trPr>
          <w:cantSplit/>
          <w:tblHeader w:val="false"/>
        </w:trPr>
        <w:tc>
          <w:tcPr>
            <w:tcW w:type="dxa" w:w="2000"/>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GLRLM</w:t>
            </w:r>
          </w:p>
        </w:tc>
        <w:tc>
          <w:tcPr>
            <w:tcW w:type="dxa" w:w="1800"/>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16</w:t>
            </w:r>
          </w:p>
        </w:tc>
        <w:tc>
          <w:tcPr>
            <w:tcW w:type="dxa" w:w="1800"/>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0,756</w:t>
            </w:r>
          </w:p>
        </w:tc>
        <w:tc>
          <w:tcPr>
            <w:tcW w:type="dxa" w:w="1636"/>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0,106</w:t>
            </w:r>
          </w:p>
        </w:tc>
        <w:tc>
          <w:tcPr>
            <w:tcW w:type="dxa" w:w="1836"/>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44,2%</w:t>
            </w:r>
          </w:p>
        </w:tc>
      </w:tr>
      <w:tr>
        <w:trPr>
          <w:cantSplit/>
          <w:tblHeader w:val="false"/>
        </w:trPr>
        <w:tc>
          <w:tcPr>
            <w:tcW w:type="dxa" w:w="2000"/>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GLSZM</w:t>
            </w:r>
          </w:p>
        </w:tc>
        <w:tc>
          <w:tcPr>
            <w:tcW w:type="dxa" w:w="1800"/>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16</w:t>
            </w:r>
          </w:p>
        </w:tc>
        <w:tc>
          <w:tcPr>
            <w:tcW w:type="dxa" w:w="1800"/>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0,666</w:t>
            </w:r>
          </w:p>
        </w:tc>
        <w:tc>
          <w:tcPr>
            <w:tcW w:type="dxa" w:w="1636"/>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-0,049</w:t>
            </w:r>
          </w:p>
        </w:tc>
        <w:tc>
          <w:tcPr>
            <w:tcW w:type="dxa" w:w="1836"/>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74,6%</w:t>
            </w:r>
          </w:p>
        </w:tc>
      </w:tr>
    </w:tbl>
    <w:p>
      <w:pPr>
        <w:spacing w:after="240" w:before="80" w:line="240"/>
      </w:pPr>
      <w:r>
        <w:rPr>
          <w:rFonts w:ascii="Times New Roman" w:cs="Times New Roman" w:eastAsia="Times New Roman" w:hAnsi="Times New Roman"/>
          <w:color w:val="000000"/>
          <w:sz w:val="20"/>
          <w:szCs w:val="20"/>
        </w:rPr>
        <w:t xml:space="preserve">Fonte: notebook de comparação binCount/binWidth, correlação de Spearman entre as 44 observações comuns às duas configurações.</w:t>
      </w:r>
    </w:p>
    <w:p>
      <w:pPr>
        <w:spacing w:after="0" w:line="360"/>
        <w:ind w:firstLine="709"/>
        <w:jc w:val="both"/>
      </w:pPr>
      <w:r>
        <w:rPr>
          <w:rFonts w:ascii="Times New Roman" w:cs="Times New Roman" w:eastAsia="Times New Roman" w:hAnsi="Times New Roman"/>
          <w:color w:val="000000"/>
          <w:sz w:val="24"/>
          <w:szCs w:val="24"/>
        </w:rPr>
        <w:t xml:space="preserve">Um efeito adicional apareceu ao comparar os números desta segunda tentativa, já validada, com os da primeira: a correlação média dos atributos de primeira ordem subiu de 0,881 para 0,962, e a diferença percentual média caiu de 22,4% para 4,3%. Isso indica que parte da instabilidade observada inicialmente nos atributos de primeira ordem não era efeito da discretização, e sim do mesmo artefato de inconsistência de sessão identificado no Quadro 3.3. Uma vez corrigido, os atributos de primeira ordem revelaram-se quase invariantes à escolha entre binCount e binWidth, com dez dos dezoito atributos apresentando correlação perfeita (1,000) e diferença nula entre as duas configurações.</w:t>
      </w:r>
    </w:p>
    <w:p>
      <w:pPr>
        <w:spacing w:after="0" w:line="360"/>
        <w:ind w:firstLine="709"/>
        <w:jc w:val="both"/>
      </w:pPr>
      <w:r>
        <w:rPr>
          <w:rFonts w:ascii="Times New Roman" w:cs="Times New Roman" w:eastAsia="Times New Roman" w:hAnsi="Times New Roman"/>
          <w:color w:val="000000"/>
          <w:sz w:val="24"/>
          <w:szCs w:val="24"/>
        </w:rPr>
        <w:t xml:space="preserve">As três classes de textura, por outro lado, apresentaram números praticamente inalterados entre a primeira e a segunda tentativa de comparação (GLCM: 0,645 para 0,704; GLRLM: 0,689 para 0,756; GLSZM: 0,578 para 0,666), permanecendo na mesma ordem de grandeza mesmo após a correção do artefato de sessão. Isso confirma que a sensibilidade dessas três classes à escolha de discretização é um efeito real do parâmetro testado, e não um artefato de comparação como ocorreu com a forma e, em menor grau, com a primeira ordem.</w:t>
      </w:r>
    </w:p>
    <w:p>
      <w:pPr>
        <w:spacing w:after="0" w:line="360"/>
        <w:ind w:firstLine="709"/>
        <w:jc w:val="both"/>
      </w:pPr>
      <w:r>
        <w:rPr>
          <w:rFonts w:ascii="Times New Roman" w:cs="Times New Roman" w:eastAsia="Times New Roman" w:hAnsi="Times New Roman"/>
          <w:color w:val="000000"/>
          <w:sz w:val="24"/>
          <w:szCs w:val="24"/>
        </w:rPr>
        <w:t xml:space="preserve">GLSZM permanece a classe mais afetada, com correlação média de 0,666 e um atributo, GrayLevelVariance, com correlação praticamente nula e discretamente negativa (-0,049), indicando que a ordenação dos nódulos por esse atributo específico não se preserva ao trocar a discretização. Um segundo atributo de GLCM, ClusterProminence, chamou atenção por apresentar diferença percentual média de 108,9%, superior a 100%, o que indica não apenas grande dispersão mas possível mudança de sinal do valor entre as duas configurações para parte dos nódulos.</w:t>
      </w:r>
    </w:p>
    <w:p>
      <w:pPr>
        <w:spacing w:after="0" w:line="360"/>
        <w:ind w:firstLine="709"/>
        <w:jc w:val="both"/>
      </w:pPr>
      <w:r>
        <w:rPr>
          <w:rFonts w:ascii="Times New Roman" w:cs="Times New Roman" w:eastAsia="Times New Roman" w:hAnsi="Times New Roman"/>
          <w:color w:val="000000"/>
          <w:sz w:val="24"/>
          <w:szCs w:val="24"/>
        </w:rPr>
        <w:t xml:space="preserve">Esse resultado tem implicação direta para a decisão de discretização ainda pendente na Seção 3.3: a escolha entre binCount e binWidth não é uma opção de configuração neutra. Ela altera substancialmente o valor e, em ao menos um caso, a própria direção de relação de atributos de textura, especialmente na classe GLSZM. Um atributo selecionado como relevante sob uma configuração pode não ser o mesmo sob a outra, o que reforça a necessidade de que a escolha final de discretização seja tomada e registrada antes da etapa de seleção de atributos, e não depois.</w:t>
      </w:r>
    </w:p>
    <w:p>
      <w:pPr>
        <w:spacing w:after="0" w:line="360"/>
        <w:ind w:firstLine="709"/>
        <w:jc w:val="both"/>
      </w:pPr>
      <w:r>
        <w:rPr>
          <w:rFonts w:ascii="Times New Roman" w:cs="Times New Roman" w:eastAsia="Times New Roman" w:hAnsi="Times New Roman"/>
          <w:color w:val="000000"/>
          <w:sz w:val="24"/>
          <w:szCs w:val="24"/>
        </w:rPr>
        <w:t xml:space="preserve">Registra-se, por fim, que esta comparação não determina qual das duas configurações é preferível — apenas que elas produzem resultados distintos o suficiente para não serem intercambiáveis. A escolha entre manter binCount=64 ou adotar binWidth=25, alinhando-se a Haarburger et al. (2020), permanece decisão do grupo, e deve ser tomada considerando o objetivo de comparabilidade com a literatura citada na Seção 3.3, e não apenas a configuração já em uso.</w:t>
      </w:r>
    </w:p>
    <w:p>
      <w:pPr>
        <w:pStyle w:val="Heading2"/>
        <w:spacing w:after="200" w:before="280" w:line="360"/>
      </w:pPr>
      <w:r>
        <w:rPr>
          <w:rFonts w:ascii="Times New Roman" w:cs="Times New Roman" w:eastAsia="Times New Roman" w:hAnsi="Times New Roman"/>
          <w:b/>
          <w:bCs/>
          <w:color w:val="000000"/>
          <w:sz w:val="24"/>
          <w:szCs w:val="24"/>
        </w:rPr>
        <w:t xml:space="preserve">3.6 Quadro comparativo e recomendação</w:t>
      </w:r>
    </w:p>
    <w:p>
      <w:pPr>
        <w:spacing w:after="0" w:line="360"/>
        <w:ind w:firstLine="709"/>
        <w:jc w:val="both"/>
      </w:pPr>
      <w:r>
        <w:rPr>
          <w:rFonts w:ascii="Times New Roman" w:cs="Times New Roman" w:eastAsia="Times New Roman" w:hAnsi="Times New Roman"/>
          <w:color w:val="000000"/>
          <w:sz w:val="24"/>
          <w:szCs w:val="24"/>
        </w:rPr>
        <w:t xml:space="preserve">A partir dos resultados da Seção 3.5, monta-se o quadro comparativo a seguir, para subsidiar a decisão do grupo sobre qual configuração de discretização adotar como oficial no pipeline.</w:t>
      </w:r>
    </w:p>
    <w:p>
      <w:pPr>
        <w:keepNext/>
        <w:spacing w:after="80" w:before="240" w:line="240"/>
      </w:pPr>
      <w:r>
        <w:rPr>
          <w:rFonts w:ascii="Times New Roman" w:cs="Times New Roman" w:eastAsia="Times New Roman" w:hAnsi="Times New Roman"/>
          <w:color w:val="000000"/>
          <w:sz w:val="20"/>
          <w:szCs w:val="20"/>
        </w:rPr>
        <w:t xml:space="preserve">Quadro 3.5 - Comparação entre binCount=64 e binWidth=25 HU</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600"/>
        <w:gridCol w:w="3236"/>
        <w:gridCol w:w="3236"/>
      </w:tblGrid>
      <w:tr>
        <w:trPr>
          <w:cantSplit/>
          <w:tblHeader/>
        </w:trPr>
        <w:tc>
          <w:tcPr>
            <w:tcW w:type="dxa" w:w="2600"/>
            <w:shd w:fill="D9D9D9" w:color="auto" w:val="clear"/>
            <w:tcMar>
              <w:top w:type="dxa" w:w="70"/>
              <w:left w:type="dxa" w:w="100"/>
              <w:bottom w:type="dxa" w:w="70"/>
              <w:right w:type="dxa" w:w="100"/>
            </w:tcMar>
          </w:tcPr>
          <w:p>
            <w:pPr>
              <w:spacing w:after="0" w:line="240"/>
            </w:pPr>
            <w:r>
              <w:rPr>
                <w:rFonts w:ascii="Times New Roman" w:cs="Times New Roman" w:eastAsia="Times New Roman" w:hAnsi="Times New Roman"/>
                <w:b/>
                <w:bCs/>
                <w:i w:val="false"/>
                <w:iCs w:val="false"/>
                <w:color w:val="000000"/>
                <w:sz w:val="20"/>
                <w:szCs w:val="20"/>
              </w:rPr>
              <w:t xml:space="preserve">Critério</w:t>
            </w:r>
          </w:p>
        </w:tc>
        <w:tc>
          <w:tcPr>
            <w:tcW w:type="dxa" w:w="3236"/>
            <w:shd w:fill="D9D9D9" w:color="auto" w:val="clear"/>
            <w:tcMar>
              <w:top w:type="dxa" w:w="70"/>
              <w:left w:type="dxa" w:w="100"/>
              <w:bottom w:type="dxa" w:w="70"/>
              <w:right w:type="dxa" w:w="100"/>
            </w:tcMar>
          </w:tcPr>
          <w:p>
            <w:pPr>
              <w:spacing w:after="0" w:line="240"/>
            </w:pPr>
            <w:r>
              <w:rPr>
                <w:rFonts w:ascii="Times New Roman" w:cs="Times New Roman" w:eastAsia="Times New Roman" w:hAnsi="Times New Roman"/>
                <w:b/>
                <w:bCs/>
                <w:i w:val="false"/>
                <w:iCs w:val="false"/>
                <w:color w:val="000000"/>
                <w:sz w:val="20"/>
                <w:szCs w:val="20"/>
              </w:rPr>
              <w:t xml:space="preserve">binCount = 64</w:t>
            </w:r>
          </w:p>
        </w:tc>
        <w:tc>
          <w:tcPr>
            <w:tcW w:type="dxa" w:w="3236"/>
            <w:shd w:fill="D9D9D9" w:color="auto" w:val="clear"/>
            <w:tcMar>
              <w:top w:type="dxa" w:w="70"/>
              <w:left w:type="dxa" w:w="100"/>
              <w:bottom w:type="dxa" w:w="70"/>
              <w:right w:type="dxa" w:w="100"/>
            </w:tcMar>
          </w:tcPr>
          <w:p>
            <w:pPr>
              <w:spacing w:after="0" w:line="240"/>
            </w:pPr>
            <w:r>
              <w:rPr>
                <w:rFonts w:ascii="Times New Roman" w:cs="Times New Roman" w:eastAsia="Times New Roman" w:hAnsi="Times New Roman"/>
                <w:b/>
                <w:bCs/>
                <w:i w:val="false"/>
                <w:iCs w:val="false"/>
                <w:color w:val="000000"/>
                <w:sz w:val="20"/>
                <w:szCs w:val="20"/>
              </w:rPr>
              <w:t xml:space="preserve">binWidth = 25 HU</w:t>
            </w:r>
          </w:p>
        </w:tc>
      </w:tr>
      <w:tr>
        <w:trPr>
          <w:cantSplit/>
          <w:tblHeader w:val="false"/>
        </w:trPr>
        <w:tc>
          <w:tcPr>
            <w:tcW w:type="dxa" w:w="2600"/>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O que fixa</w:t>
            </w:r>
          </w:p>
        </w:tc>
        <w:tc>
          <w:tcPr>
            <w:tcW w:type="dxa" w:w="3236"/>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Sempre 64 faixas; largura variável por nódulo</w:t>
            </w:r>
          </w:p>
        </w:tc>
        <w:tc>
          <w:tcPr>
            <w:tcW w:type="dxa" w:w="3236"/>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Largura sempre 25 HU; número de faixas variável por nódulo</w:t>
            </w:r>
          </w:p>
        </w:tc>
      </w:tr>
      <w:tr>
        <w:trPr>
          <w:cantSplit/>
          <w:tblHeader w:val="false"/>
        </w:trPr>
        <w:tc>
          <w:tcPr>
            <w:tcW w:type="dxa" w:w="2600"/>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Comparabilidade entre pacientes</w:t>
            </w:r>
          </w:p>
        </w:tc>
        <w:tc>
          <w:tcPr>
            <w:tcW w:type="dxa" w:w="3236"/>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Fraca: a mesma faixa representa intervalos de HU diferentes em nódulos diferentes</w:t>
            </w:r>
          </w:p>
        </w:tc>
        <w:tc>
          <w:tcPr>
            <w:tcW w:type="dxa" w:w="3236"/>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Forte: uma faixa sempre representa a mesma variação real de densidade</w:t>
            </w:r>
          </w:p>
        </w:tc>
      </w:tr>
      <w:tr>
        <w:trPr>
          <w:cantSplit/>
          <w:tblHeader w:val="false"/>
        </w:trPr>
        <w:tc>
          <w:tcPr>
            <w:tcW w:type="dxa" w:w="2600"/>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Recomendação de van Timmeren et al. (2020)</w:t>
            </w:r>
          </w:p>
        </w:tc>
        <w:tc>
          <w:tcPr>
            <w:tcW w:type="dxa" w:w="3236"/>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Não é a recomendada para modalidades de escala física absoluta</w:t>
            </w:r>
          </w:p>
        </w:tc>
        <w:tc>
          <w:tcPr>
            <w:tcW w:type="dxa" w:w="3236"/>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É a recomendada para tomografia computadorizada</w:t>
            </w:r>
          </w:p>
        </w:tc>
      </w:tr>
      <w:tr>
        <w:trPr>
          <w:cantSplit/>
          <w:tblHeader w:val="false"/>
        </w:trPr>
        <w:tc>
          <w:tcPr>
            <w:tcW w:type="dxa" w:w="2600"/>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Comparabilidade com Haarburger et al. (2020)</w:t>
            </w:r>
          </w:p>
        </w:tc>
        <w:tc>
          <w:tcPr>
            <w:tcW w:type="dxa" w:w="3236"/>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Nenhuma; configuração diferente</w:t>
            </w:r>
          </w:p>
        </w:tc>
        <w:tc>
          <w:tcPr>
            <w:tcW w:type="dxa" w:w="3236"/>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Direta; é a mesma configuração usada por eles no LIDC-IDRI</w:t>
            </w:r>
          </w:p>
        </w:tc>
      </w:tr>
      <w:tr>
        <w:trPr>
          <w:cantSplit/>
          <w:tblHeader w:val="false"/>
        </w:trPr>
        <w:tc>
          <w:tcPr>
            <w:tcW w:type="dxa" w:w="2600"/>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Estado de validação (Rodada 2)</w:t>
            </w:r>
          </w:p>
        </w:tc>
        <w:tc>
          <w:tcPr>
            <w:tcW w:type="dxa" w:w="3236"/>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Determinismo confirmado; dois incidentes corrigidos e documentados</w:t>
            </w:r>
          </w:p>
        </w:tc>
        <w:tc>
          <w:tcPr>
            <w:tcW w:type="dxa" w:w="3236"/>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Notebook de validação preparado; execução da bateria completa pendente</w:t>
            </w:r>
          </w:p>
        </w:tc>
      </w:tr>
      <w:tr>
        <w:trPr>
          <w:cantSplit/>
          <w:tblHeader w:val="false"/>
        </w:trPr>
        <w:tc>
          <w:tcPr>
            <w:tcW w:type="dxa" w:w="2600"/>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Custo de adoção imediata</w:t>
            </w:r>
          </w:p>
        </w:tc>
        <w:tc>
          <w:tcPr>
            <w:tcW w:type="dxa" w:w="3236"/>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Nenhum; já é a configuração em uso</w:t>
            </w:r>
          </w:p>
        </w:tc>
        <w:tc>
          <w:tcPr>
            <w:tcW w:type="dxa" w:w="3236"/>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Reextração dos 1.010 pacientes, quando decidido</w:t>
            </w:r>
          </w:p>
        </w:tc>
      </w:tr>
      <w:tr>
        <w:trPr>
          <w:cantSplit/>
          <w:tblHeader w:val="false"/>
        </w:trPr>
        <w:tc>
          <w:tcPr>
            <w:tcW w:type="dxa" w:w="2600"/>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Atributos de forma</w:t>
            </w:r>
          </w:p>
        </w:tc>
        <w:tc>
          <w:tcPr>
            <w:tcW w:type="dxa" w:w="3236"/>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Idênticos nas duas configurações</w:t>
            </w:r>
          </w:p>
        </w:tc>
        <w:tc>
          <w:tcPr>
            <w:tcW w:type="dxa" w:w="3236"/>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Idênticos nas duas configurações</w:t>
            </w:r>
          </w:p>
        </w:tc>
      </w:tr>
      <w:tr>
        <w:trPr>
          <w:cantSplit/>
          <w:tblHeader w:val="false"/>
        </w:trPr>
        <w:tc>
          <w:tcPr>
            <w:tcW w:type="dxa" w:w="2600"/>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Atributos de primeira ordem</w:t>
            </w:r>
          </w:p>
        </w:tc>
        <w:tc>
          <w:tcPr>
            <w:tcW w:type="dxa" w:w="3236"/>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Quase invariantes entre as duas (Spearman 0,962)</w:t>
            </w:r>
          </w:p>
        </w:tc>
        <w:tc>
          <w:tcPr>
            <w:tcW w:type="dxa" w:w="3236"/>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Idem — a escolha aqui pouco altera esses atributos</w:t>
            </w:r>
          </w:p>
        </w:tc>
      </w:tr>
      <w:tr>
        <w:trPr>
          <w:cantSplit/>
          <w:tblHeader w:val="false"/>
        </w:trPr>
        <w:tc>
          <w:tcPr>
            <w:tcW w:type="dxa" w:w="2600"/>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Atributos de textura (GLCM, GLRLM, GLSZM)</w:t>
            </w:r>
          </w:p>
        </w:tc>
        <w:tc>
          <w:tcPr>
            <w:tcW w:type="dxa" w:w="3236"/>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Divergem de forma real frente à outra configuração</w:t>
            </w:r>
          </w:p>
        </w:tc>
        <w:tc>
          <w:tcPr>
            <w:tcW w:type="dxa" w:w="3236"/>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Idem — a diferença é mútua, não indica que uma configuração esteja errada</w:t>
            </w:r>
          </w:p>
        </w:tc>
      </w:tr>
    </w:tbl>
    <w:p>
      <w:pPr>
        <w:spacing w:after="240" w:before="80" w:line="240"/>
      </w:pPr>
      <w:r>
        <w:rPr>
          <w:rFonts w:ascii="Times New Roman" w:cs="Times New Roman" w:eastAsia="Times New Roman" w:hAnsi="Times New Roman"/>
          <w:color w:val="000000"/>
          <w:sz w:val="20"/>
          <w:szCs w:val="20"/>
        </w:rPr>
        <w:t xml:space="preserve">Fonte: elaborado pelos autores (2026), a partir dos resultados das Seções 3.4 e 3.5.</w:t>
      </w:r>
    </w:p>
    <w:p>
      <w:pPr>
        <w:spacing w:after="0" w:line="360"/>
        <w:ind w:firstLine="709"/>
        <w:jc w:val="both"/>
      </w:pPr>
      <w:r>
        <w:rPr>
          <w:rFonts w:ascii="Times New Roman" w:cs="Times New Roman" w:eastAsia="Times New Roman" w:hAnsi="Times New Roman"/>
          <w:color w:val="000000"/>
          <w:sz w:val="24"/>
          <w:szCs w:val="24"/>
        </w:rPr>
        <w:t xml:space="preserve">A recomendação registrada é pela adoção de binWidth=25 como configuração oficial do pipeline, por duas razões que decorrem diretamente do restante deste relatório, e não de preferência arbitrária. Primeiro, o gap de pesquisa consolidado na Sprint 1 depende de comparação direta com Haarburger et al. (2020) no mesmo conjunto de dados; essa comparação só é válida se a configuração de extração for a mesma. Segundo, van Timmeren et al. (2020), já adotado como referência metodológica do grupo, recomenda explicitamente largura fixa para tomografia computadorizada.</w:t>
      </w:r>
    </w:p>
    <w:p>
      <w:pPr>
        <w:spacing w:after="0" w:line="360"/>
        <w:ind w:firstLine="709"/>
        <w:jc w:val="both"/>
      </w:pPr>
      <w:r>
        <w:rPr>
          <w:rFonts w:ascii="Times New Roman" w:cs="Times New Roman" w:eastAsia="Times New Roman" w:hAnsi="Times New Roman"/>
          <w:color w:val="000000"/>
          <w:sz w:val="24"/>
          <w:szCs w:val="24"/>
        </w:rPr>
        <w:t xml:space="preserve">Recomenda-se, contudo, preservar os resultados obtidos com binCount=64 como análise de sensibilidade documentada, e não descartá-los: o Quadro 3.4 já demonstra, com evidência própria do grupo, que a escolha de discretização tem efeito real sobre atributos de textura, argumento que fortalece a justificativa metodológica do relatório final.</w:t>
      </w:r>
    </w:p>
    <w:p>
      <w:pPr>
        <w:pStyle w:val="Heading2"/>
        <w:spacing w:after="200" w:before="280" w:line="360"/>
      </w:pPr>
      <w:r>
        <w:rPr>
          <w:rFonts w:ascii="Times New Roman" w:cs="Times New Roman" w:eastAsia="Times New Roman" w:hAnsi="Times New Roman"/>
          <w:b/>
          <w:bCs/>
          <w:color w:val="000000"/>
          <w:sz w:val="24"/>
          <w:szCs w:val="24"/>
        </w:rPr>
        <w:t xml:space="preserve">3.7 Rastreabilidade: notebooks utilizados nesta análise</w:t>
      </w:r>
    </w:p>
    <w:p>
      <w:pPr>
        <w:spacing w:after="0" w:line="360"/>
        <w:ind w:firstLine="709"/>
        <w:jc w:val="both"/>
      </w:pPr>
      <w:r>
        <w:rPr>
          <w:rFonts w:ascii="Times New Roman" w:cs="Times New Roman" w:eastAsia="Times New Roman" w:hAnsi="Times New Roman"/>
          <w:color w:val="000000"/>
          <w:sz w:val="24"/>
          <w:szCs w:val="24"/>
        </w:rPr>
        <w:t xml:space="preserve">Cada verificação registrada nas Seções 3.4 a 3.6, e os dois incidentes documentados na Seção 4, foram produzidos por notebooks distintos, cada um respondendo a uma pergunta específica levantada ao longo da sprint. O quadro a seguir documenta a origem de cada resultado, de modo que qualquer afirmação numérica deste relatório possa ser rastreada até o código que a produziu.</w:t>
      </w:r>
    </w:p>
    <w:p>
      <w:pPr>
        <w:keepNext/>
        <w:spacing w:after="80" w:before="240" w:line="240"/>
      </w:pPr>
      <w:r>
        <w:rPr>
          <w:rFonts w:ascii="Times New Roman" w:cs="Times New Roman" w:eastAsia="Times New Roman" w:hAnsi="Times New Roman"/>
          <w:color w:val="000000"/>
          <w:sz w:val="20"/>
          <w:szCs w:val="20"/>
        </w:rPr>
        <w:t xml:space="preserve">Quadro 3.6 - Notebooks utilizados e a pergunta que cada um responde</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400"/>
        <w:gridCol w:w="2072"/>
      </w:tblGrid>
      <w:tr>
        <w:trPr>
          <w:cantSplit/>
          <w:tblHeader/>
        </w:trPr>
        <w:tc>
          <w:tcPr>
            <w:tcW w:type="dxa" w:w="2000"/>
            <w:shd w:fill="D9D9D9" w:color="auto" w:val="clear"/>
            <w:tcMar>
              <w:top w:type="dxa" w:w="70"/>
              <w:left w:type="dxa" w:w="100"/>
              <w:bottom w:type="dxa" w:w="70"/>
              <w:right w:type="dxa" w:w="100"/>
            </w:tcMar>
          </w:tcPr>
          <w:p>
            <w:pPr>
              <w:spacing w:after="0" w:line="240"/>
            </w:pPr>
            <w:r>
              <w:rPr>
                <w:rFonts w:ascii="Times New Roman" w:cs="Times New Roman" w:eastAsia="Times New Roman" w:hAnsi="Times New Roman"/>
                <w:b/>
                <w:bCs/>
                <w:i w:val="false"/>
                <w:iCs w:val="false"/>
                <w:color w:val="000000"/>
                <w:sz w:val="20"/>
                <w:szCs w:val="20"/>
              </w:rPr>
              <w:t xml:space="preserve">Notebook</w:t>
            </w:r>
          </w:p>
        </w:tc>
        <w:tc>
          <w:tcPr>
            <w:tcW w:type="dxa" w:w="2600"/>
            <w:shd w:fill="D9D9D9" w:color="auto" w:val="clear"/>
            <w:tcMar>
              <w:top w:type="dxa" w:w="70"/>
              <w:left w:type="dxa" w:w="100"/>
              <w:bottom w:type="dxa" w:w="70"/>
              <w:right w:type="dxa" w:w="100"/>
            </w:tcMar>
          </w:tcPr>
          <w:p>
            <w:pPr>
              <w:spacing w:after="0" w:line="240"/>
            </w:pPr>
            <w:r>
              <w:rPr>
                <w:rFonts w:ascii="Times New Roman" w:cs="Times New Roman" w:eastAsia="Times New Roman" w:hAnsi="Times New Roman"/>
                <w:b/>
                <w:bCs/>
                <w:i w:val="false"/>
                <w:iCs w:val="false"/>
                <w:color w:val="000000"/>
                <w:sz w:val="20"/>
                <w:szCs w:val="20"/>
              </w:rPr>
              <w:t xml:space="preserve">Pergunta que motivou sua criação</w:t>
            </w:r>
          </w:p>
        </w:tc>
        <w:tc>
          <w:tcPr>
            <w:tcW w:type="dxa" w:w="2400"/>
            <w:shd w:fill="D9D9D9" w:color="auto" w:val="clear"/>
            <w:tcMar>
              <w:top w:type="dxa" w:w="70"/>
              <w:left w:type="dxa" w:w="100"/>
              <w:bottom w:type="dxa" w:w="70"/>
              <w:right w:type="dxa" w:w="100"/>
            </w:tcMar>
          </w:tcPr>
          <w:p>
            <w:pPr>
              <w:spacing w:after="0" w:line="240"/>
            </w:pPr>
            <w:r>
              <w:rPr>
                <w:rFonts w:ascii="Times New Roman" w:cs="Times New Roman" w:eastAsia="Times New Roman" w:hAnsi="Times New Roman"/>
                <w:b/>
                <w:bCs/>
                <w:i w:val="false"/>
                <w:iCs w:val="false"/>
                <w:color w:val="000000"/>
                <w:sz w:val="20"/>
                <w:szCs w:val="20"/>
              </w:rPr>
              <w:t xml:space="preserve">O que respondeu</w:t>
            </w:r>
          </w:p>
        </w:tc>
        <w:tc>
          <w:tcPr>
            <w:tcW w:type="dxa" w:w="2072"/>
            <w:shd w:fill="D9D9D9" w:color="auto" w:val="clear"/>
            <w:tcMar>
              <w:top w:type="dxa" w:w="70"/>
              <w:left w:type="dxa" w:w="100"/>
              <w:bottom w:type="dxa" w:w="70"/>
              <w:right w:type="dxa" w:w="100"/>
            </w:tcMar>
          </w:tcPr>
          <w:p>
            <w:pPr>
              <w:spacing w:after="0" w:line="240"/>
            </w:pPr>
            <w:r>
              <w:rPr>
                <w:rFonts w:ascii="Times New Roman" w:cs="Times New Roman" w:eastAsia="Times New Roman" w:hAnsi="Times New Roman"/>
                <w:b/>
                <w:bCs/>
                <w:i w:val="false"/>
                <w:iCs w:val="false"/>
                <w:color w:val="000000"/>
                <w:sz w:val="20"/>
                <w:szCs w:val="20"/>
              </w:rPr>
              <w:t xml:space="preserve">Onde se encontra</w:t>
            </w:r>
          </w:p>
        </w:tc>
      </w:tr>
      <w:tr>
        <w:trPr>
          <w:cantSplit/>
          <w:tblHeader w:val="false"/>
        </w:trPr>
        <w:tc>
          <w:tcPr>
            <w:tcW w:type="dxa" w:w="2000"/>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piloto_v2 (extração e validação da Rodada 2)</w:t>
            </w:r>
          </w:p>
        </w:tc>
        <w:tc>
          <w:tcPr>
            <w:tcW w:type="dxa" w:w="2600"/>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As segmentações preparadas permitem extrair, de forma consistente, features de forma, intensidade e textura?</w:t>
            </w:r>
          </w:p>
        </w:tc>
        <w:tc>
          <w:tcPr>
            <w:tcW w:type="dxa" w:w="2400"/>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Sim, após identificar e corrigir dois incidentes de não determinismo (Seção 4); diferença numérica nula confirmada entre execuções independentes</w:t>
            </w:r>
          </w:p>
        </w:tc>
        <w:tc>
          <w:tcPr>
            <w:tcW w:type="dxa" w:w="2072"/>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Drive: config/config_piloto_v2.json e features/piloto_piloto_v2_consenso50.csv. Pendente de inclusão no Pull Request da sprint</w:t>
            </w:r>
          </w:p>
        </w:tc>
      </w:tr>
      <w:tr>
        <w:trPr>
          <w:cantSplit/>
          <w:tblHeader w:val="false"/>
        </w:trPr>
        <w:tc>
          <w:tcPr>
            <w:tcW w:type="dxa" w:w="2000"/>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verificacao_populacional_valor3 (verificação da proporção de indeterminados)</w:t>
            </w:r>
          </w:p>
        </w:tc>
        <w:tc>
          <w:tcPr>
            <w:tcW w:type="dxa" w:w="2600"/>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O percentual de 38,6% de nódulos com valor central 3, encontrado no piloto de 25 pacientes, é representativo do conjunto completo, ou reflete viés da amostra sequencial?</w:t>
            </w:r>
          </w:p>
        </w:tc>
        <w:tc>
          <w:tcPr>
            <w:tcW w:type="dxa" w:w="2400"/>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Confirmado: 36,9% no universo elegível completo (696 pacientes, 1.392 nódulos); diferença de 2,0 pontos percentuais, dentro da variação esperada por amostragem, sem evidência de viés de seleção</w:t>
            </w:r>
          </w:p>
        </w:tc>
        <w:tc>
          <w:tcPr>
            <w:tcW w:type="dxa" w:w="2072"/>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Drive: logs/verificacao_populacional_valor_central_3.json</w:t>
            </w:r>
          </w:p>
        </w:tc>
      </w:tr>
      <w:tr>
        <w:trPr>
          <w:cantSplit/>
          <w:tblHeader w:val="false"/>
        </w:trPr>
        <w:tc>
          <w:tcPr>
            <w:tcW w:type="dxa" w:w="2000"/>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comparacao_binCount_binWidth (comparação de discretização)</w:t>
            </w:r>
          </w:p>
        </w:tc>
        <w:tc>
          <w:tcPr>
            <w:tcW w:type="dxa" w:w="2600"/>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A escolha entre binCount=64 e binWidth=25 HU altera os atributos extraídos de forma relevante, ou é uma opção de configuração neutra?</w:t>
            </w:r>
          </w:p>
        </w:tc>
        <w:tc>
          <w:tcPr>
            <w:tcW w:type="dxa" w:w="2400"/>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Não é neutra: atributos de textura divergem de forma real entre as duas configurações (GLSZM com correlação média de 0,666); atributos de forma e de primeira ordem são pouco afetados</w:t>
            </w:r>
          </w:p>
        </w:tc>
        <w:tc>
          <w:tcPr>
            <w:tcW w:type="dxa" w:w="2072"/>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Drive: features/comparacao_v2_v3_discretizacao.json</w:t>
            </w:r>
          </w:p>
        </w:tc>
      </w:tr>
      <w:tr>
        <w:trPr>
          <w:cantSplit/>
          <w:tblHeader w:val="false"/>
        </w:trPr>
        <w:tc>
          <w:tcPr>
            <w:tcW w:type="dxa" w:w="2000"/>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piloto_v3_oficial (validação de binWidth=25 como configuração oficial)</w:t>
            </w:r>
          </w:p>
        </w:tc>
        <w:tc>
          <w:tcPr>
            <w:tcW w:type="dxa" w:w="2600"/>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A configuração binWidth=25 é tão determinística quanto binCount=64 já demonstrou ser na Rodada 2?</w:t>
            </w:r>
          </w:p>
        </w:tc>
        <w:tc>
          <w:tcPr>
            <w:tcW w:type="dxa" w:w="2400"/>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Sim: mesma cobertura da Rodada 2 (44 nódulos, 30 descartes, 0 falhas) e diferença numérica nula entre execuções independentes (teste de determinismo confirmado)</w:t>
            </w:r>
          </w:p>
        </w:tc>
        <w:tc>
          <w:tcPr>
            <w:tcW w:type="dxa" w:w="2072"/>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Drive: config/config_piloto_v3_oficial.json e features/validacao_piloto_v3_oficial_consenso50.json</w:t>
            </w:r>
          </w:p>
        </w:tc>
      </w:tr>
    </w:tbl>
    <w:p>
      <w:pPr>
        <w:spacing w:after="240" w:before="80" w:line="240"/>
      </w:pPr>
      <w:r>
        <w:rPr>
          <w:rFonts w:ascii="Times New Roman" w:cs="Times New Roman" w:eastAsia="Times New Roman" w:hAnsi="Times New Roman"/>
          <w:color w:val="000000"/>
          <w:sz w:val="20"/>
          <w:szCs w:val="20"/>
        </w:rPr>
        <w:t xml:space="preserve">Fonte: elaborado pelos autores (2026).</w:t>
      </w:r>
    </w:p>
    <w:p>
      <w:pPr>
        <w:spacing w:after="0" w:line="360"/>
        <w:ind w:firstLine="709"/>
        <w:jc w:val="both"/>
      </w:pPr>
      <w:r>
        <w:rPr>
          <w:rFonts w:ascii="Times New Roman" w:cs="Times New Roman" w:eastAsia="Times New Roman" w:hAnsi="Times New Roman"/>
          <w:color w:val="000000"/>
          <w:sz w:val="24"/>
          <w:szCs w:val="24"/>
        </w:rPr>
        <w:t xml:space="preserve">Registra-se que as quatro verificações estão concluídas nesta versão do relatório. A última delas, detalhada a seguir, confirma que a configuração recomendada na Seção 3.6 sustenta o mesmo padrão de rigor já estabelecido para a configuração em uso.</w:t>
      </w:r>
    </w:p>
    <w:p>
      <w:pPr>
        <w:pStyle w:val="Heading2"/>
        <w:spacing w:after="200" w:before="280" w:line="360"/>
      </w:pPr>
      <w:r>
        <w:rPr>
          <w:rFonts w:ascii="Times New Roman" w:cs="Times New Roman" w:eastAsia="Times New Roman" w:hAnsi="Times New Roman"/>
          <w:b/>
          <w:bCs/>
          <w:color w:val="000000"/>
          <w:sz w:val="24"/>
          <w:szCs w:val="24"/>
        </w:rPr>
        <w:t xml:space="preserve">3.8 Resultado da validação de binWidth=25</w:t>
      </w:r>
    </w:p>
    <w:p>
      <w:pPr>
        <w:spacing w:after="0" w:line="360"/>
        <w:ind w:firstLine="709"/>
        <w:jc w:val="both"/>
      </w:pPr>
      <w:r>
        <w:rPr>
          <w:rFonts w:ascii="Times New Roman" w:cs="Times New Roman" w:eastAsia="Times New Roman" w:hAnsi="Times New Roman"/>
          <w:color w:val="000000"/>
          <w:sz w:val="24"/>
          <w:szCs w:val="24"/>
        </w:rPr>
        <w:t xml:space="preserve">A execução completa da configuração binWidth=25 sobre os 25 pacientes do piloto reproduziu, número por número, a cobertura já obtida com binCount=64: mesmos 44 nódulos extraídos, mesmos 30 descartes (todos por número insuficiente de anotadores), nenhuma falha de extração, e distribuição de rótulo idêntica (17 indeterminados, 38,6%; 8 benignos; 19 malignos). Isso é o resultado esperado, já que a discretização não deveria alterar quais nódulos são elegíveis, apenas os valores de intensidade e textura calculados para cada um.</w:t>
      </w:r>
    </w:p>
    <w:p>
      <w:pPr>
        <w:keepNext/>
        <w:spacing w:after="80" w:before="240" w:line="240"/>
      </w:pPr>
      <w:r>
        <w:rPr>
          <w:rFonts w:ascii="Times New Roman" w:cs="Times New Roman" w:eastAsia="Times New Roman" w:hAnsi="Times New Roman"/>
          <w:color w:val="000000"/>
          <w:sz w:val="20"/>
          <w:szCs w:val="20"/>
        </w:rPr>
        <w:t xml:space="preserve">Quadro 3.7 - Validação de binWidth=25: cobertura e teste de determinismo</w:t>
      </w:r>
    </w:p>
    <w:tbl>
      <w:tblPr>
        <w:tblW w:type="dxa" w:w="8672"/>
        <w:tblBorders>
          <w:top w:val="single" w:color="auto" w:sz="4"/>
          <w:left w:val="single" w:color="auto" w:sz="4"/>
          <w:bottom w:val="single" w:color="auto" w:sz="4"/>
          <w:right w:val="single" w:color="auto" w:sz="4"/>
          <w:insideH w:val="single" w:color="auto" w:sz="4"/>
          <w:insideV w:val="single" w:color="auto" w:sz="4"/>
        </w:tblBorders>
      </w:tblPr>
      <w:tblGrid>
        <w:gridCol w:w="3600"/>
        <w:gridCol w:w="2536"/>
        <w:gridCol w:w="2536"/>
      </w:tblGrid>
      <w:tr>
        <w:trPr>
          <w:cantSplit/>
          <w:tblHeader/>
        </w:trPr>
        <w:tc>
          <w:tcPr>
            <w:tcW w:type="dxa" w:w="3600"/>
            <w:shd w:fill="D9D9D9" w:color="auto" w:val="clear"/>
            <w:tcMar>
              <w:top w:type="dxa" w:w="70"/>
              <w:left w:type="dxa" w:w="100"/>
              <w:bottom w:type="dxa" w:w="70"/>
              <w:right w:type="dxa" w:w="100"/>
            </w:tcMar>
          </w:tcPr>
          <w:p>
            <w:pPr>
              <w:spacing w:after="0" w:line="240"/>
            </w:pPr>
            <w:r>
              <w:rPr>
                <w:rFonts w:ascii="Times New Roman" w:cs="Times New Roman" w:eastAsia="Times New Roman" w:hAnsi="Times New Roman"/>
                <w:b/>
                <w:bCs/>
                <w:i w:val="false"/>
                <w:iCs w:val="false"/>
                <w:color w:val="000000"/>
                <w:sz w:val="20"/>
                <w:szCs w:val="20"/>
              </w:rPr>
              <w:t xml:space="preserve">Verificação</w:t>
            </w:r>
          </w:p>
        </w:tc>
        <w:tc>
          <w:tcPr>
            <w:tcW w:type="dxa" w:w="2536"/>
            <w:shd w:fill="D9D9D9" w:color="auto" w:val="clear"/>
            <w:tcMar>
              <w:top w:type="dxa" w:w="70"/>
              <w:left w:type="dxa" w:w="100"/>
              <w:bottom w:type="dxa" w:w="70"/>
              <w:right w:type="dxa" w:w="100"/>
            </w:tcMar>
          </w:tcPr>
          <w:p>
            <w:pPr>
              <w:spacing w:after="0" w:line="240"/>
            </w:pPr>
            <w:r>
              <w:rPr>
                <w:rFonts w:ascii="Times New Roman" w:cs="Times New Roman" w:eastAsia="Times New Roman" w:hAnsi="Times New Roman"/>
                <w:b/>
                <w:bCs/>
                <w:i w:val="false"/>
                <w:iCs w:val="false"/>
                <w:color w:val="000000"/>
                <w:sz w:val="20"/>
                <w:szCs w:val="20"/>
              </w:rPr>
              <w:t xml:space="preserve">binCount=64 (Rodada 2)</w:t>
            </w:r>
          </w:p>
        </w:tc>
        <w:tc>
          <w:tcPr>
            <w:tcW w:type="dxa" w:w="2536"/>
            <w:shd w:fill="D9D9D9" w:color="auto" w:val="clear"/>
            <w:tcMar>
              <w:top w:type="dxa" w:w="70"/>
              <w:left w:type="dxa" w:w="100"/>
              <w:bottom w:type="dxa" w:w="70"/>
              <w:right w:type="dxa" w:w="100"/>
            </w:tcMar>
          </w:tcPr>
          <w:p>
            <w:pPr>
              <w:spacing w:after="0" w:line="240"/>
            </w:pPr>
            <w:r>
              <w:rPr>
                <w:rFonts w:ascii="Times New Roman" w:cs="Times New Roman" w:eastAsia="Times New Roman" w:hAnsi="Times New Roman"/>
                <w:b/>
                <w:bCs/>
                <w:i w:val="false"/>
                <w:iCs w:val="false"/>
                <w:color w:val="000000"/>
                <w:sz w:val="20"/>
                <w:szCs w:val="20"/>
              </w:rPr>
              <w:t xml:space="preserve">binWidth=25 (validação)</w:t>
            </w:r>
          </w:p>
        </w:tc>
      </w:tr>
      <w:tr>
        <w:trPr>
          <w:cantSplit/>
          <w:tblHeader w:val="false"/>
        </w:trPr>
        <w:tc>
          <w:tcPr>
            <w:tcW w:type="dxa" w:w="3600"/>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Nódulos extraídos</w:t>
            </w:r>
          </w:p>
        </w:tc>
        <w:tc>
          <w:tcPr>
            <w:tcW w:type="dxa" w:w="2536"/>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44</w:t>
            </w:r>
          </w:p>
        </w:tc>
        <w:tc>
          <w:tcPr>
            <w:tcW w:type="dxa" w:w="2536"/>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44</w:t>
            </w:r>
          </w:p>
        </w:tc>
      </w:tr>
      <w:tr>
        <w:trPr>
          <w:cantSplit/>
          <w:tblHeader w:val="false"/>
        </w:trPr>
        <w:tc>
          <w:tcPr>
            <w:tcW w:type="dxa" w:w="3600"/>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Nódulos descartados</w:t>
            </w:r>
          </w:p>
        </w:tc>
        <w:tc>
          <w:tcPr>
            <w:tcW w:type="dxa" w:w="2536"/>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30</w:t>
            </w:r>
          </w:p>
        </w:tc>
        <w:tc>
          <w:tcPr>
            <w:tcW w:type="dxa" w:w="2536"/>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30</w:t>
            </w:r>
          </w:p>
        </w:tc>
      </w:tr>
      <w:tr>
        <w:trPr>
          <w:cantSplit/>
          <w:tblHeader w:val="false"/>
        </w:trPr>
        <w:tc>
          <w:tcPr>
            <w:tcW w:type="dxa" w:w="3600"/>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Falhas de extração</w:t>
            </w:r>
          </w:p>
        </w:tc>
        <w:tc>
          <w:tcPr>
            <w:tcW w:type="dxa" w:w="2536"/>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0</w:t>
            </w:r>
          </w:p>
        </w:tc>
        <w:tc>
          <w:tcPr>
            <w:tcW w:type="dxa" w:w="2536"/>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0</w:t>
            </w:r>
          </w:p>
        </w:tc>
      </w:tr>
      <w:tr>
        <w:trPr>
          <w:cantSplit/>
          <w:tblHeader w:val="false"/>
        </w:trPr>
        <w:tc>
          <w:tcPr>
            <w:tcW w:type="dxa" w:w="3600"/>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Colunas com NaN, Inf ou constantes</w:t>
            </w:r>
          </w:p>
        </w:tc>
        <w:tc>
          <w:tcPr>
            <w:tcW w:type="dxa" w:w="2536"/>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0, 0, 0</w:t>
            </w:r>
          </w:p>
        </w:tc>
        <w:tc>
          <w:tcPr>
            <w:tcW w:type="dxa" w:w="2536"/>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0, 0, 0</w:t>
            </w:r>
          </w:p>
        </w:tc>
      </w:tr>
      <w:tr>
        <w:trPr>
          <w:cantSplit/>
          <w:tblHeader w:val="false"/>
        </w:trPr>
        <w:tc>
          <w:tcPr>
            <w:tcW w:type="dxa" w:w="3600"/>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Sphericity fora de [0,1]</w:t>
            </w:r>
          </w:p>
        </w:tc>
        <w:tc>
          <w:tcPr>
            <w:tcW w:type="dxa" w:w="2536"/>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0</w:t>
            </w:r>
          </w:p>
        </w:tc>
        <w:tc>
          <w:tcPr>
            <w:tcW w:type="dxa" w:w="2536"/>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0</w:t>
            </w:r>
          </w:p>
        </w:tc>
      </w:tr>
      <w:tr>
        <w:trPr>
          <w:cantSplit/>
          <w:tblHeader w:val="false"/>
        </w:trPr>
        <w:tc>
          <w:tcPr>
            <w:tcW w:type="dxa" w:w="3600"/>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Indeterminados (valor central = 3)</w:t>
            </w:r>
          </w:p>
        </w:tc>
        <w:tc>
          <w:tcPr>
            <w:tcW w:type="dxa" w:w="2536"/>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17 (38,6%)</w:t>
            </w:r>
          </w:p>
        </w:tc>
        <w:tc>
          <w:tcPr>
            <w:tcW w:type="dxa" w:w="2536"/>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17 (38,6%)</w:t>
            </w:r>
          </w:p>
        </w:tc>
      </w:tr>
      <w:tr>
        <w:trPr>
          <w:cantSplit/>
          <w:tblHeader w:val="false"/>
        </w:trPr>
        <w:tc>
          <w:tcPr>
            <w:tcW w:type="dxa" w:w="3600"/>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Teste de determinismo: mesmos IDs entre execuções</w:t>
            </w:r>
          </w:p>
        </w:tc>
        <w:tc>
          <w:tcPr>
            <w:tcW w:type="dxa" w:w="2536"/>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Sim</w:t>
            </w:r>
          </w:p>
        </w:tc>
        <w:tc>
          <w:tcPr>
            <w:tcW w:type="dxa" w:w="2536"/>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Sim</w:t>
            </w:r>
          </w:p>
        </w:tc>
      </w:tr>
      <w:tr>
        <w:trPr>
          <w:cantSplit/>
          <w:tblHeader w:val="false"/>
        </w:trPr>
        <w:tc>
          <w:tcPr>
            <w:tcW w:type="dxa" w:w="3600"/>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Teste de determinismo: maior diferença numérica absoluta</w:t>
            </w:r>
          </w:p>
        </w:tc>
        <w:tc>
          <w:tcPr>
            <w:tcW w:type="dxa" w:w="2536"/>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0,00e+00</w:t>
            </w:r>
          </w:p>
        </w:tc>
        <w:tc>
          <w:tcPr>
            <w:tcW w:type="dxa" w:w="2536"/>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0,00e+00</w:t>
            </w:r>
          </w:p>
        </w:tc>
      </w:tr>
      <w:tr>
        <w:trPr>
          <w:cantSplit/>
          <w:tblHeader w:val="false"/>
        </w:trPr>
        <w:tc>
          <w:tcPr>
            <w:tcW w:type="dxa" w:w="3600"/>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Determinismo confirmado</w:t>
            </w:r>
          </w:p>
        </w:tc>
        <w:tc>
          <w:tcPr>
            <w:tcW w:type="dxa" w:w="2536"/>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Sim</w:t>
            </w:r>
          </w:p>
        </w:tc>
        <w:tc>
          <w:tcPr>
            <w:tcW w:type="dxa" w:w="2536"/>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Sim</w:t>
            </w:r>
          </w:p>
        </w:tc>
      </w:tr>
    </w:tbl>
    <w:p>
      <w:pPr>
        <w:spacing w:after="240" w:before="80" w:line="240"/>
      </w:pPr>
      <w:r>
        <w:rPr>
          <w:rFonts w:ascii="Times New Roman" w:cs="Times New Roman" w:eastAsia="Times New Roman" w:hAnsi="Times New Roman"/>
          <w:color w:val="000000"/>
          <w:sz w:val="20"/>
          <w:szCs w:val="20"/>
        </w:rPr>
        <w:t xml:space="preserve">Fonte: validacao_piloto_v2_consenso50.json e validacao_piloto_v3_oficial_consenso50.json, pasta features/ no Drive.</w:t>
      </w:r>
    </w:p>
    <w:p>
      <w:pPr>
        <w:spacing w:after="0" w:line="360"/>
        <w:ind w:firstLine="709"/>
        <w:jc w:val="both"/>
      </w:pPr>
      <w:r>
        <w:rPr>
          <w:rFonts w:ascii="Times New Roman" w:cs="Times New Roman" w:eastAsia="Times New Roman" w:hAnsi="Times New Roman"/>
          <w:color w:val="000000"/>
          <w:sz w:val="24"/>
          <w:szCs w:val="24"/>
        </w:rPr>
        <w:t xml:space="preserve">Com este resultado, encerra-se a etapa de validação técnica desta sprint. A configuração binWidth=25 está confirmada como determinística, com a mesma cobertura e a mesma qualidade de dados já demonstradas para binCount=64, e pode ser adotada como configuração oficial do pipeline com o mesmo grau de confiança já estabelecido para a configuração anterior. A decisão final de adoção, e a extração sobre o conjunto completo de 1.010 pacientes, ficam registradas como próximo passo do grupo, na Seção 6.</w:t>
      </w:r>
    </w:p>
    <w:p>
      <w:pPr>
        <w:pStyle w:val="Heading1"/>
        <w:spacing w:after="240" w:before="360" w:line="360"/>
      </w:pPr>
      <w:r>
        <w:rPr>
          <w:rFonts w:ascii="Times New Roman" w:cs="Times New Roman" w:eastAsia="Times New Roman" w:hAnsi="Times New Roman"/>
          <w:b/>
          <w:bCs/>
          <w:color w:val="000000"/>
          <w:sz w:val="24"/>
          <w:szCs w:val="24"/>
        </w:rPr>
        <w:t xml:space="preserve">4 INCIDENTE NA RODADA 1 E CORREÇÕES APLICADAS NA RODADA 2</w:t>
      </w:r>
    </w:p>
    <w:p>
      <w:pPr>
        <w:spacing w:after="0" w:line="360"/>
        <w:ind w:firstLine="709"/>
        <w:jc w:val="both"/>
      </w:pPr>
      <w:r>
        <w:rPr>
          <w:rFonts w:ascii="Times New Roman" w:cs="Times New Roman" w:eastAsia="Times New Roman" w:hAnsi="Times New Roman"/>
          <w:color w:val="000000"/>
          <w:sz w:val="24"/>
          <w:szCs w:val="24"/>
        </w:rPr>
        <w:t xml:space="preserve">Esta seção documenta um problema real encontrado durante a execução, o processo de diagnóstico e a correção aplicada. Registrá-lo é parte da evidência de rigor metodológico exigida pelo projeto: um resultado que não pode ser reproduzido não existe cientificamente, e a Rodada 1 produziu exatamente esse sintoma antes de ser corrigida.</w:t>
      </w:r>
    </w:p>
    <w:p>
      <w:pPr>
        <w:pStyle w:val="Heading2"/>
        <w:spacing w:after="200" w:before="280" w:line="360"/>
      </w:pPr>
      <w:r>
        <w:rPr>
          <w:rFonts w:ascii="Times New Roman" w:cs="Times New Roman" w:eastAsia="Times New Roman" w:hAnsi="Times New Roman"/>
          <w:b/>
          <w:bCs/>
          <w:color w:val="000000"/>
          <w:sz w:val="24"/>
          <w:szCs w:val="24"/>
        </w:rPr>
        <w:t xml:space="preserve">4.1 O sintoma</w:t>
      </w:r>
    </w:p>
    <w:p>
      <w:pPr>
        <w:spacing w:after="0" w:line="360"/>
        <w:ind w:firstLine="709"/>
        <w:jc w:val="both"/>
      </w:pPr>
      <w:r>
        <w:rPr>
          <w:rFonts w:ascii="Times New Roman" w:cs="Times New Roman" w:eastAsia="Times New Roman" w:hAnsi="Times New Roman"/>
          <w:color w:val="000000"/>
          <w:sz w:val="24"/>
          <w:szCs w:val="24"/>
        </w:rPr>
        <w:t xml:space="preserve">A Rodada 1 (piloto_v1) foi executada duas vezes, sobre os mesmos 25 pacientes, sem nenhuma alteração de código ou parâmetro entre as execuções. As duas rodadas deveriam produzir resultados idênticos, já que a entrada e a lógica eram as mesmas. Em vez disso, a primeira execução produziu 44 nódulos extraídos e a segunda produziu 43 — uma diferença de um nódulo entre execuções supostamente idênticas.</w:t>
      </w:r>
    </w:p>
    <w:p>
      <w:pPr>
        <w:keepNext/>
        <w:spacing w:after="80" w:before="240" w:line="240"/>
      </w:pPr>
      <w:r>
        <w:rPr>
          <w:rFonts w:ascii="Times New Roman" w:cs="Times New Roman" w:eastAsia="Times New Roman" w:hAnsi="Times New Roman"/>
          <w:color w:val="000000"/>
          <w:sz w:val="20"/>
          <w:szCs w:val="20"/>
        </w:rPr>
        <w:t xml:space="preserve">Quadro 2 - Diferença observada entre as duas execuções da Rodada 1</w:t>
      </w:r>
    </w:p>
    <w:tbl>
      <w:tblPr>
        <w:tblW w:type="dxa" w:w="8672"/>
        <w:tblBorders>
          <w:top w:val="single" w:color="auto" w:sz="4"/>
          <w:left w:val="single" w:color="auto" w:sz="4"/>
          <w:bottom w:val="single" w:color="auto" w:sz="4"/>
          <w:right w:val="single" w:color="auto" w:sz="4"/>
          <w:insideH w:val="single" w:color="auto" w:sz="4"/>
          <w:insideV w:val="single" w:color="auto" w:sz="4"/>
        </w:tblBorders>
      </w:tblPr>
      <w:tblGrid>
        <w:gridCol w:w="3600"/>
        <w:gridCol w:w="2536"/>
        <w:gridCol w:w="2536"/>
      </w:tblGrid>
      <w:tr>
        <w:trPr>
          <w:cantSplit/>
          <w:tblHeader/>
        </w:trPr>
        <w:tc>
          <w:tcPr>
            <w:tcW w:type="dxa" w:w="3600"/>
            <w:shd w:fill="D9D9D9" w:color="auto" w:val="clear"/>
            <w:tcMar>
              <w:top w:type="dxa" w:w="70"/>
              <w:left w:type="dxa" w:w="100"/>
              <w:bottom w:type="dxa" w:w="70"/>
              <w:right w:type="dxa" w:w="100"/>
            </w:tcMar>
          </w:tcPr>
          <w:p>
            <w:pPr>
              <w:spacing w:after="0" w:line="240"/>
            </w:pPr>
            <w:r>
              <w:rPr>
                <w:rFonts w:ascii="Times New Roman" w:cs="Times New Roman" w:eastAsia="Times New Roman" w:hAnsi="Times New Roman"/>
                <w:b/>
                <w:bCs/>
                <w:i w:val="false"/>
                <w:iCs w:val="false"/>
                <w:color w:val="000000"/>
                <w:sz w:val="20"/>
                <w:szCs w:val="20"/>
              </w:rPr>
              <w:t xml:space="preserve">Métrica</w:t>
            </w:r>
          </w:p>
        </w:tc>
        <w:tc>
          <w:tcPr>
            <w:tcW w:type="dxa" w:w="2536"/>
            <w:shd w:fill="D9D9D9" w:color="auto" w:val="clear"/>
            <w:tcMar>
              <w:top w:type="dxa" w:w="70"/>
              <w:left w:type="dxa" w:w="100"/>
              <w:bottom w:type="dxa" w:w="70"/>
              <w:right w:type="dxa" w:w="100"/>
            </w:tcMar>
          </w:tcPr>
          <w:p>
            <w:pPr>
              <w:spacing w:after="0" w:line="240"/>
            </w:pPr>
            <w:r>
              <w:rPr>
                <w:rFonts w:ascii="Times New Roman" w:cs="Times New Roman" w:eastAsia="Times New Roman" w:hAnsi="Times New Roman"/>
                <w:b/>
                <w:bCs/>
                <w:i w:val="false"/>
                <w:iCs w:val="false"/>
                <w:color w:val="000000"/>
                <w:sz w:val="20"/>
                <w:szCs w:val="20"/>
              </w:rPr>
              <w:t xml:space="preserve">Execução 1</w:t>
            </w:r>
          </w:p>
        </w:tc>
        <w:tc>
          <w:tcPr>
            <w:tcW w:type="dxa" w:w="2536"/>
            <w:shd w:fill="D9D9D9" w:color="auto" w:val="clear"/>
            <w:tcMar>
              <w:top w:type="dxa" w:w="70"/>
              <w:left w:type="dxa" w:w="100"/>
              <w:bottom w:type="dxa" w:w="70"/>
              <w:right w:type="dxa" w:w="100"/>
            </w:tcMar>
          </w:tcPr>
          <w:p>
            <w:pPr>
              <w:spacing w:after="0" w:line="240"/>
            </w:pPr>
            <w:r>
              <w:rPr>
                <w:rFonts w:ascii="Times New Roman" w:cs="Times New Roman" w:eastAsia="Times New Roman" w:hAnsi="Times New Roman"/>
                <w:b/>
                <w:bCs/>
                <w:i w:val="false"/>
                <w:iCs w:val="false"/>
                <w:color w:val="000000"/>
                <w:sz w:val="20"/>
                <w:szCs w:val="20"/>
              </w:rPr>
              <w:t xml:space="preserve">Execução 2</w:t>
            </w:r>
          </w:p>
        </w:tc>
      </w:tr>
      <w:tr>
        <w:trPr>
          <w:cantSplit/>
          <w:tblHeader w:val="false"/>
        </w:trPr>
        <w:tc>
          <w:tcPr>
            <w:tcW w:type="dxa" w:w="3600"/>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Nódulos extraídos</w:t>
            </w:r>
          </w:p>
        </w:tc>
        <w:tc>
          <w:tcPr>
            <w:tcW w:type="dxa" w:w="2536"/>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44</w:t>
            </w:r>
          </w:p>
        </w:tc>
        <w:tc>
          <w:tcPr>
            <w:tcW w:type="dxa" w:w="2536"/>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43</w:t>
            </w:r>
          </w:p>
        </w:tc>
      </w:tr>
      <w:tr>
        <w:trPr>
          <w:cantSplit/>
          <w:tblHeader w:val="false"/>
        </w:trPr>
        <w:tc>
          <w:tcPr>
            <w:tcW w:type="dxa" w:w="3600"/>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Nódulos descartados</w:t>
            </w:r>
          </w:p>
        </w:tc>
        <w:tc>
          <w:tcPr>
            <w:tcW w:type="dxa" w:w="2536"/>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30</w:t>
            </w:r>
          </w:p>
        </w:tc>
        <w:tc>
          <w:tcPr>
            <w:tcW w:type="dxa" w:w="2536"/>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31</w:t>
            </w:r>
          </w:p>
        </w:tc>
      </w:tr>
      <w:tr>
        <w:trPr>
          <w:cantSplit/>
          <w:tblHeader w:val="false"/>
        </w:trPr>
        <w:tc>
          <w:tcPr>
            <w:tcW w:type="dxa" w:w="3600"/>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Motivo "leitores_insuficientes"</w:t>
            </w:r>
          </w:p>
        </w:tc>
        <w:tc>
          <w:tcPr>
            <w:tcW w:type="dxa" w:w="2536"/>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30</w:t>
            </w:r>
          </w:p>
        </w:tc>
        <w:tc>
          <w:tcPr>
            <w:tcW w:type="dxa" w:w="2536"/>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30</w:t>
            </w:r>
          </w:p>
        </w:tc>
      </w:tr>
      <w:tr>
        <w:trPr>
          <w:cantSplit/>
          <w:tblHeader w:val="false"/>
        </w:trPr>
        <w:tc>
          <w:tcPr>
            <w:tcW w:type="dxa" w:w="3600"/>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Motivo "erro_extracao:ValueError"</w:t>
            </w:r>
          </w:p>
        </w:tc>
        <w:tc>
          <w:tcPr>
            <w:tcW w:type="dxa" w:w="2536"/>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0</w:t>
            </w:r>
          </w:p>
        </w:tc>
        <w:tc>
          <w:tcPr>
            <w:tcW w:type="dxa" w:w="2536"/>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1</w:t>
            </w:r>
          </w:p>
        </w:tc>
      </w:tr>
    </w:tbl>
    <w:p>
      <w:pPr>
        <w:spacing w:after="240" w:before="80" w:line="240"/>
      </w:pPr>
      <w:r>
        <w:rPr>
          <w:rFonts w:ascii="Times New Roman" w:cs="Times New Roman" w:eastAsia="Times New Roman" w:hAnsi="Times New Roman"/>
          <w:color w:val="000000"/>
          <w:sz w:val="20"/>
          <w:szCs w:val="20"/>
        </w:rPr>
        <w:t xml:space="preserve">Fonte: saída da Célula 12.6 (relatório) nas duas execuções da v1.</w:t>
      </w:r>
    </w:p>
    <w:p>
      <w:pPr>
        <w:pStyle w:val="Heading2"/>
        <w:spacing w:after="200" w:before="280" w:line="360"/>
      </w:pPr>
      <w:r>
        <w:rPr>
          <w:rFonts w:ascii="Times New Roman" w:cs="Times New Roman" w:eastAsia="Times New Roman" w:hAnsi="Times New Roman"/>
          <w:b/>
          <w:bCs/>
          <w:color w:val="000000"/>
          <w:sz w:val="24"/>
          <w:szCs w:val="24"/>
        </w:rPr>
        <w:t xml:space="preserve">4.2 Diagnóstico até a causa raiz</w:t>
      </w:r>
    </w:p>
    <w:p>
      <w:pPr>
        <w:spacing w:after="0" w:line="360"/>
        <w:ind w:firstLine="709"/>
        <w:jc w:val="both"/>
      </w:pPr>
      <w:r>
        <w:rPr>
          <w:rFonts w:ascii="Times New Roman" w:cs="Times New Roman" w:eastAsia="Times New Roman" w:hAnsi="Times New Roman"/>
          <w:color w:val="000000"/>
          <w:sz w:val="24"/>
          <w:szCs w:val="24"/>
        </w:rPr>
        <w:t xml:space="preserve">O nódulo que desaparecia entre uma execução e outra foi identificado como LIDC-IDRI-0011_N05. Testado isoladamente, esse nódulo rodou sem erro em cinco tentativas consecutivas, sempre com 61 voxels na máscara e sem qualquer sinal de instabilidade. Isso descartou, de início, a hipótese de aleatoriedade genuína no cálculo ou de problema na consolidação da máscara entre os quatro leitores.</w:t>
      </w:r>
    </w:p>
    <w:p>
      <w:pPr>
        <w:spacing w:after="0" w:line="360"/>
        <w:ind w:firstLine="709"/>
        <w:jc w:val="both"/>
      </w:pPr>
      <w:r>
        <w:rPr>
          <w:rFonts w:ascii="Times New Roman" w:cs="Times New Roman" w:eastAsia="Times New Roman" w:hAnsi="Times New Roman"/>
          <w:color w:val="000000"/>
          <w:sz w:val="24"/>
          <w:szCs w:val="24"/>
        </w:rPr>
        <w:t xml:space="preserve">O passo seguinte foi reproduzir a ordem exata da execução completa, processando os pacientes em sequência a partir do primeiro. Nessa reprodução, o erro reapareceu de forma determinística, sempre no mesmo nódulo, sempre após o processamento de dez pacientes anteriores. O traceback completo revelou a causa exata:</w:t>
      </w:r>
    </w:p>
    <w:p>
      <w:pPr>
        <w:spacing w:after="0" w:line="360"/>
        <w:ind w:firstLine="709"/>
        <w:jc w:val="both"/>
      </w:pPr>
      <w:r>
        <w:rPr>
          <w:rFonts w:ascii="Times New Roman" w:cs="Times New Roman" w:eastAsia="Times New Roman" w:hAnsi="Times New Roman"/>
          <w:color w:val="000000"/>
          <w:sz w:val="24"/>
          <w:szCs w:val="24"/>
        </w:rPr>
        <w:t xml:space="preserve">ValueError: autodetected range of [nan, nan] is not finite, originado na etapa de discretização de intensidade (getBinEdges) do PyRadiomics, ao tentar montar um histograma sobre um array cujos valores dentro da máscara eram inteiramente NaN.</w:t>
      </w:r>
    </w:p>
    <w:p>
      <w:pPr>
        <w:spacing w:after="0" w:line="360"/>
        <w:ind w:firstLine="709"/>
        <w:jc w:val="both"/>
      </w:pPr>
      <w:r>
        <w:rPr>
          <w:rFonts w:ascii="Times New Roman" w:cs="Times New Roman" w:eastAsia="Times New Roman" w:hAnsi="Times New Roman"/>
          <w:color w:val="000000"/>
          <w:sz w:val="24"/>
          <w:szCs w:val="24"/>
        </w:rPr>
        <w:t xml:space="preserve">A conclusão do diagnóstico foi que o objeto extractor do PyRadiomics estava sendo reutilizado globalmente, chamado uma vez por nódulo ao longo de todo o loop de extração. Esse padrão permite que estado interno acumulado em processamentos anteriores contamine o processamento de um nódulo posterior, mesmo quando aquele nódulo, isolado, não apresenta problema algum. O nódulo LIDC-IDRI-0011_N05 era vítima do histórico de execução, não de um defeito nos seus próprios dados.</w:t>
      </w:r>
    </w:p>
    <w:p>
      <w:pPr>
        <w:pStyle w:val="Heading2"/>
        <w:spacing w:after="200" w:before="280" w:line="360"/>
      </w:pPr>
      <w:r>
        <w:rPr>
          <w:rFonts w:ascii="Times New Roman" w:cs="Times New Roman" w:eastAsia="Times New Roman" w:hAnsi="Times New Roman"/>
          <w:b/>
          <w:bCs/>
          <w:color w:val="000000"/>
          <w:sz w:val="24"/>
          <w:szCs w:val="24"/>
        </w:rPr>
        <w:t xml:space="preserve">4.3 Correções aplicadas na Rodada 2</w:t>
      </w:r>
    </w:p>
    <w:p>
      <w:pPr>
        <w:spacing w:after="0" w:line="360"/>
        <w:ind w:firstLine="709"/>
        <w:jc w:val="both"/>
      </w:pPr>
      <w:r>
        <w:rPr>
          <w:rFonts w:ascii="Times New Roman" w:cs="Times New Roman" w:eastAsia="Times New Roman" w:hAnsi="Times New Roman"/>
          <w:color w:val="000000"/>
          <w:sz w:val="24"/>
          <w:szCs w:val="24"/>
        </w:rPr>
        <w:t xml:space="preserve">A Rodada 2 exigiu duas etapas de correção, aplicadas em sequência, porque o primeiro incidente mascarava um segundo problema que só ficou visível depois que o primeiro foi eliminado.</w:t>
      </w:r>
    </w:p>
    <w:p>
      <w:pPr>
        <w:keepNext/>
        <w:spacing w:after="80" w:before="240" w:line="240"/>
      </w:pPr>
      <w:r>
        <w:rPr>
          <w:rFonts w:ascii="Times New Roman" w:cs="Times New Roman" w:eastAsia="Times New Roman" w:hAnsi="Times New Roman"/>
          <w:color w:val="000000"/>
          <w:sz w:val="20"/>
          <w:szCs w:val="20"/>
        </w:rPr>
        <w:t xml:space="preserve">Quadro 3 - Correções de código entre a Rodada 1 e a Rodada 2</w:t>
      </w:r>
    </w:p>
    <w:tbl>
      <w:tblPr>
        <w:tblW w:type="dxa" w:w="8744"/>
        <w:tblBorders>
          <w:top w:val="single" w:color="auto" w:sz="4"/>
          <w:left w:val="single" w:color="auto" w:sz="4"/>
          <w:bottom w:val="single" w:color="auto" w:sz="4"/>
          <w:right w:val="single" w:color="auto" w:sz="4"/>
          <w:insideH w:val="single" w:color="auto" w:sz="4"/>
          <w:insideV w:val="single" w:color="auto" w:sz="4"/>
        </w:tblBorders>
      </w:tblPr>
      <w:tblGrid>
        <w:gridCol w:w="2400"/>
        <w:gridCol w:w="3272"/>
        <w:gridCol w:w="3072"/>
      </w:tblGrid>
      <w:tr>
        <w:trPr>
          <w:cantSplit/>
          <w:tblHeader/>
        </w:trPr>
        <w:tc>
          <w:tcPr>
            <w:tcW w:type="dxa" w:w="2400"/>
            <w:shd w:fill="D9D9D9" w:color="auto" w:val="clear"/>
            <w:tcMar>
              <w:top w:type="dxa" w:w="70"/>
              <w:left w:type="dxa" w:w="100"/>
              <w:bottom w:type="dxa" w:w="70"/>
              <w:right w:type="dxa" w:w="100"/>
            </w:tcMar>
          </w:tcPr>
          <w:p>
            <w:pPr>
              <w:spacing w:after="0" w:line="240"/>
            </w:pPr>
            <w:r>
              <w:rPr>
                <w:rFonts w:ascii="Times New Roman" w:cs="Times New Roman" w:eastAsia="Times New Roman" w:hAnsi="Times New Roman"/>
                <w:b/>
                <w:bCs/>
                <w:i w:val="false"/>
                <w:iCs w:val="false"/>
                <w:color w:val="000000"/>
                <w:sz w:val="20"/>
                <w:szCs w:val="20"/>
              </w:rPr>
              <w:t xml:space="preserve">Correção</w:t>
            </w:r>
          </w:p>
        </w:tc>
        <w:tc>
          <w:tcPr>
            <w:tcW w:type="dxa" w:w="3272"/>
            <w:shd w:fill="D9D9D9" w:color="auto" w:val="clear"/>
            <w:tcMar>
              <w:top w:type="dxa" w:w="70"/>
              <w:left w:type="dxa" w:w="100"/>
              <w:bottom w:type="dxa" w:w="70"/>
              <w:right w:type="dxa" w:w="100"/>
            </w:tcMar>
          </w:tcPr>
          <w:p>
            <w:pPr>
              <w:spacing w:after="0" w:line="240"/>
            </w:pPr>
            <w:r>
              <w:rPr>
                <w:rFonts w:ascii="Times New Roman" w:cs="Times New Roman" w:eastAsia="Times New Roman" w:hAnsi="Times New Roman"/>
                <w:b/>
                <w:bCs/>
                <w:i w:val="false"/>
                <w:iCs w:val="false"/>
                <w:color w:val="000000"/>
                <w:sz w:val="20"/>
                <w:szCs w:val="20"/>
              </w:rPr>
              <w:t xml:space="preserve">O que muda no código</w:t>
            </w:r>
          </w:p>
        </w:tc>
        <w:tc>
          <w:tcPr>
            <w:tcW w:type="dxa" w:w="3072"/>
            <w:shd w:fill="D9D9D9" w:color="auto" w:val="clear"/>
            <w:tcMar>
              <w:top w:type="dxa" w:w="70"/>
              <w:left w:type="dxa" w:w="100"/>
              <w:bottom w:type="dxa" w:w="70"/>
              <w:right w:type="dxa" w:w="100"/>
            </w:tcMar>
          </w:tcPr>
          <w:p>
            <w:pPr>
              <w:spacing w:after="0" w:line="240"/>
            </w:pPr>
            <w:r>
              <w:rPr>
                <w:rFonts w:ascii="Times New Roman" w:cs="Times New Roman" w:eastAsia="Times New Roman" w:hAnsi="Times New Roman"/>
                <w:b/>
                <w:bCs/>
                <w:i w:val="false"/>
                <w:iCs w:val="false"/>
                <w:color w:val="000000"/>
                <w:sz w:val="20"/>
                <w:szCs w:val="20"/>
              </w:rPr>
              <w:t xml:space="preserve">Efeito esperado</w:t>
            </w:r>
          </w:p>
        </w:tc>
      </w:tr>
      <w:tr>
        <w:trPr>
          <w:cantSplit/>
          <w:tblHeader w:val="false"/>
        </w:trPr>
        <w:tc>
          <w:tcPr>
            <w:tcW w:type="dxa" w:w="2400"/>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Extractor isolado por nódulo</w:t>
            </w:r>
          </w:p>
        </w:tc>
        <w:tc>
          <w:tcPr>
            <w:tcW w:type="dxa" w:w="3272"/>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RadiomicsFeatureExtractor é instanciado dentro da função de extração, uma vez por nódulo, em vez de uma única vez para todo o loop</w:t>
            </w:r>
          </w:p>
        </w:tc>
        <w:tc>
          <w:tcPr>
            <w:tcW w:type="dxa" w:w="3072"/>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Elimina a contaminação de estado entre nódulos, causa raiz confirmada do incidente da Rodada 1</w:t>
            </w:r>
          </w:p>
        </w:tc>
      </w:tr>
      <w:tr>
        <w:trPr>
          <w:cantSplit/>
          <w:tblHeader w:val="false"/>
        </w:trPr>
        <w:tc>
          <w:tcPr>
            <w:tcW w:type="dxa" w:w="2400"/>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Checagem explícita de NaN/Inf</w:t>
            </w:r>
          </w:p>
        </w:tc>
        <w:tc>
          <w:tcPr>
            <w:tcW w:type="dxa" w:w="3272"/>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O array de intensidade dentro da máscara é testado com np.isfinite() antes de ser enviado ao extractor</w:t>
            </w:r>
          </w:p>
        </w:tc>
        <w:tc>
          <w:tcPr>
            <w:tcW w:type="dxa" w:w="3072"/>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Nódulos com dado inválido são descartados com motivo próprio (intensidade_nao_finita), rastreável no relatório, em vez de estourar exceção genérica</w:t>
            </w:r>
          </w:p>
        </w:tc>
      </w:tr>
      <w:tr>
        <w:trPr>
          <w:cantSplit/>
          <w:tblHeader w:val="false"/>
        </w:trPr>
        <w:tc>
          <w:tcPr>
            <w:tcW w:type="dxa" w:w="2400"/>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Nova tentativa com objeto limpo</w:t>
            </w:r>
          </w:p>
        </w:tc>
        <w:tc>
          <w:tcPr>
            <w:tcW w:type="dxa" w:w="3272"/>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Se a extração falhar mesmo assim, uma segunda tentativa é feita com outro extractor recém-criado antes de desistir do nódulo</w:t>
            </w:r>
          </w:p>
        </w:tc>
        <w:tc>
          <w:tcPr>
            <w:tcW w:type="dxa" w:w="3072"/>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Rede de segurança adicional</w:t>
            </w:r>
          </w:p>
        </w:tc>
      </w:tr>
      <w:tr>
        <w:trPr>
          <w:cantSplit/>
          <w:tblHeader w:val="false"/>
        </w:trPr>
        <w:tc>
          <w:tcPr>
            <w:tcW w:type="dxa" w:w="2400"/>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Commit do PyRadiomics fixado</w:t>
            </w:r>
          </w:p>
        </w:tc>
        <w:tc>
          <w:tcPr>
            <w:tcW w:type="dxa" w:w="3272"/>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A instalação passou a apontar para um commit específico do repositório, não para o topo da branch</w:t>
            </w:r>
          </w:p>
        </w:tc>
        <w:tc>
          <w:tcPr>
            <w:tcW w:type="dxa" w:w="3072"/>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Garante reprodutibilidade da instalação do ambiente entre execuções e entre integrantes</w:t>
            </w:r>
          </w:p>
        </w:tc>
      </w:tr>
      <w:tr>
        <w:trPr>
          <w:cantSplit/>
          <w:tblHeader w:val="false"/>
        </w:trPr>
        <w:tc>
          <w:tcPr>
            <w:tcW w:type="dxa" w:w="2400"/>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Margem de contexto antes da reamostragem (13.1)</w:t>
            </w:r>
          </w:p>
        </w:tc>
        <w:tc>
          <w:tcPr>
            <w:tcW w:type="dxa" w:w="3272"/>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A caixa envolvente do nódulo é expandida em 4 voxels em cada direção antes do recorte, dando contexto espacial à interpolação B-spline que reamostra a imagem para 1x1x1 mm</w:t>
            </w:r>
          </w:p>
        </w:tc>
        <w:tc>
          <w:tcPr>
            <w:tcW w:type="dxa" w:w="3072"/>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Elimina overshoot numérico (overflow) na reamostragem, segundo incidente encontrado, descrito na Seção 4.4</w:t>
            </w:r>
          </w:p>
        </w:tc>
      </w:tr>
      <w:tr>
        <w:trPr>
          <w:cantSplit/>
          <w:tblHeader w:val="false"/>
        </w:trPr>
        <w:tc>
          <w:tcPr>
            <w:tcW w:type="dxa" w:w="2400"/>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Checagem de faixa Hounsfield</w:t>
            </w:r>
          </w:p>
        </w:tc>
        <w:tc>
          <w:tcPr>
            <w:tcW w:type="dxa" w:w="3272"/>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Valores de intensidade com magnitude acima de 5000 HU dentro da máscara são descartados com motivo próprio (intensidade_fora_de_faixa_hu)</w:t>
            </w:r>
          </w:p>
        </w:tc>
        <w:tc>
          <w:tcPr>
            <w:tcW w:type="dxa" w:w="3072"/>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Rede de segurança complementar à margem de contexto</w:t>
            </w:r>
          </w:p>
        </w:tc>
      </w:tr>
    </w:tbl>
    <w:p>
      <w:pPr>
        <w:spacing w:after="240" w:before="80" w:line="240"/>
      </w:pPr>
      <w:r>
        <w:rPr>
          <w:rFonts w:ascii="Times New Roman" w:cs="Times New Roman" w:eastAsia="Times New Roman" w:hAnsi="Times New Roman"/>
          <w:color w:val="000000"/>
          <w:sz w:val="20"/>
          <w:szCs w:val="20"/>
        </w:rPr>
        <w:t xml:space="preserve">Fonte: comparação entre os notebooks piloto_v1 e piloto_v2 (incluindo a correção 13.1) do Grupo 4.</w:t>
      </w:r>
    </w:p>
    <w:p>
      <w:pPr>
        <w:pStyle w:val="Heading2"/>
        <w:spacing w:after="200" w:before="280" w:line="360"/>
      </w:pPr>
      <w:r>
        <w:rPr>
          <w:rFonts w:ascii="Times New Roman" w:cs="Times New Roman" w:eastAsia="Times New Roman" w:hAnsi="Times New Roman"/>
          <w:b/>
          <w:bCs/>
          <w:color w:val="000000"/>
          <w:sz w:val="24"/>
          <w:szCs w:val="24"/>
        </w:rPr>
        <w:t xml:space="preserve">4.4 Segundo incidente: overflow numérico intermitente</w:t>
      </w:r>
    </w:p>
    <w:p>
      <w:pPr>
        <w:spacing w:after="0" w:line="360"/>
        <w:ind w:firstLine="709"/>
        <w:jc w:val="both"/>
      </w:pPr>
      <w:r>
        <w:rPr>
          <w:rFonts w:ascii="Times New Roman" w:cs="Times New Roman" w:eastAsia="Times New Roman" w:hAnsi="Times New Roman"/>
          <w:color w:val="000000"/>
          <w:sz w:val="24"/>
          <w:szCs w:val="24"/>
        </w:rPr>
        <w:t xml:space="preserve">Após a correção do extractor isolado, o teste de determinismo revelou um segundo problema, até então mascarado pelo primeiro. Em uma execução da amostra de 10 pacientes, o pipeline extraiu 11 nódulos; na execução seguinte, sobre a mesma amostra e o mesmo código, extraiu 12. O console registrou avisos de runtime indicando overflow em operação de subtração e valor inválido em multiplicação e divisão, originados na mesma etapa de discretização do PyRadiomics do incidente anterior, mas com sintoma distinto: em vez de intensidade totalmente não numérica (NaN), os valores eram finitos, porém extremos o bastante para estourar a faixa numérica do histograma.</w:t>
      </w:r>
    </w:p>
    <w:p>
      <w:pPr>
        <w:spacing w:after="0" w:line="360"/>
        <w:ind w:firstLine="709"/>
        <w:jc w:val="both"/>
      </w:pPr>
      <w:r>
        <w:rPr>
          <w:rFonts w:ascii="Times New Roman" w:cs="Times New Roman" w:eastAsia="Times New Roman" w:hAnsi="Times New Roman"/>
          <w:color w:val="000000"/>
          <w:sz w:val="24"/>
          <w:szCs w:val="24"/>
        </w:rPr>
        <w:t xml:space="preserve">A hipótese investigada foi a de que a sub-imagem enviada ao extrator era recortada rente ao contorno do nódulo, sem margem de contexto ao redor. A interpolação B-spline, de ordem cúbica, depende de vizinhança para se comportar de forma estável; sem margem suficiente, pode produzir overshoot nas bordas do recorte, gerando intensidades muito acima da faixa fisiológica esperada em unidades Hounsfield.</w:t>
      </w:r>
    </w:p>
    <w:p>
      <w:pPr>
        <w:spacing w:after="0" w:line="360"/>
        <w:ind w:firstLine="709"/>
        <w:jc w:val="both"/>
      </w:pPr>
      <w:r>
        <w:rPr>
          <w:rFonts w:ascii="Times New Roman" w:cs="Times New Roman" w:eastAsia="Times New Roman" w:hAnsi="Times New Roman"/>
          <w:color w:val="000000"/>
          <w:sz w:val="24"/>
          <w:szCs w:val="24"/>
        </w:rPr>
        <w:t xml:space="preserve">Antes de aceitar essa hipótese, testou-se e descartou-se uma alternativa: que o agrupamento de anotações em nódulos, feito pela biblioteca pylidc, fosse instável entre execuções. Esse agrupamento foi executado três vezes seguidas sobre os mesmos 10 pacientes e produziu, nas três vezes, exatamente a mesma contagem de nódulos por paciente — descartando o pylidc como fonte da instabilidade e confirmando que o problema estava na etapa de reamostragem do próprio pipeline de extração.</w:t>
      </w:r>
    </w:p>
    <w:p>
      <w:pPr>
        <w:spacing w:after="0" w:line="360"/>
        <w:ind w:firstLine="709"/>
        <w:jc w:val="both"/>
      </w:pPr>
      <w:r>
        <w:rPr>
          <w:rFonts w:ascii="Times New Roman" w:cs="Times New Roman" w:eastAsia="Times New Roman" w:hAnsi="Times New Roman"/>
          <w:color w:val="000000"/>
          <w:sz w:val="24"/>
          <w:szCs w:val="24"/>
        </w:rPr>
        <w:t xml:space="preserve">A correção aplicada foi expandir a caixa envolvente do nódulo em 4 voxels antes do recorte, fornecendo contexto espacial à interpolação, complementada por uma checagem de faixa que descarta, como rede de segurança, qualquer valor de intensidade acima de 5000 HU dentro da máscara.</w:t>
      </w:r>
    </w:p>
    <w:p>
      <w:pPr>
        <w:pStyle w:val="Heading2"/>
        <w:spacing w:after="200" w:before="280" w:line="360"/>
      </w:pPr>
      <w:r>
        <w:rPr>
          <w:rFonts w:ascii="Times New Roman" w:cs="Times New Roman" w:eastAsia="Times New Roman" w:hAnsi="Times New Roman"/>
          <w:b/>
          <w:bCs/>
          <w:color w:val="000000"/>
          <w:sz w:val="24"/>
          <w:szCs w:val="24"/>
        </w:rPr>
        <w:t xml:space="preserve">4.5 Verificação final da correção</w:t>
      </w:r>
    </w:p>
    <w:p>
      <w:pPr>
        <w:spacing w:after="0" w:line="360"/>
        <w:ind w:firstLine="709"/>
        <w:jc w:val="both"/>
      </w:pPr>
      <w:r>
        <w:rPr>
          <w:rFonts w:ascii="Times New Roman" w:cs="Times New Roman" w:eastAsia="Times New Roman" w:hAnsi="Times New Roman"/>
          <w:color w:val="000000"/>
          <w:sz w:val="24"/>
          <w:szCs w:val="24"/>
        </w:rPr>
        <w:t xml:space="preserve">Após as duas correções, o teste de determinismo foi executado por completo, em três etapas: comparação de contagem de nódulos, comparação de identificadores e comparação numérica de cada uma das 88 features entre duas execuções independentes da mesma amostra de 10 pacientes. As três etapas confirmaram equivalência total entre as execuções, incluindo diferença numérica nula entre os valores de feature, e nenhum aviso de overflow foi registrado nesta execução. O resultado está detalhado na Seção 5.3.</w:t>
      </w:r>
    </w:p>
    <w:p>
      <w:pPr>
        <w:pStyle w:val="Heading1"/>
        <w:spacing w:after="240" w:before="360" w:line="360"/>
      </w:pPr>
      <w:r>
        <w:rPr>
          <w:rFonts w:ascii="Times New Roman" w:cs="Times New Roman" w:eastAsia="Times New Roman" w:hAnsi="Times New Roman"/>
          <w:b/>
          <w:bCs/>
          <w:color w:val="000000"/>
          <w:sz w:val="24"/>
          <w:szCs w:val="24"/>
        </w:rPr>
        <w:t xml:space="preserve">5 RESULTADOS</w:t>
      </w:r>
    </w:p>
    <w:p>
      <w:pPr>
        <w:spacing w:after="0" w:line="360"/>
        <w:ind w:firstLine="0"/>
        <w:jc w:val="both"/>
      </w:pPr>
      <w:r>
        <w:rPr>
          <w:rFonts w:ascii="Times New Roman" w:cs="Times New Roman" w:eastAsia="Times New Roman" w:hAnsi="Times New Roman"/>
          <w:color w:val="000000"/>
          <w:sz w:val="24"/>
          <w:szCs w:val="24"/>
        </w:rPr>
        <w:t xml:space="preserve">Esta seção é preenchida progressivamente, uma subseção por rodada de execução.</w:t>
      </w:r>
    </w:p>
    <w:p>
      <w:pPr>
        <w:pStyle w:val="Heading2"/>
        <w:spacing w:after="200" w:before="280" w:line="360"/>
      </w:pPr>
      <w:r>
        <w:rPr>
          <w:rFonts w:ascii="Times New Roman" w:cs="Times New Roman" w:eastAsia="Times New Roman" w:hAnsi="Times New Roman"/>
          <w:b/>
          <w:bCs/>
          <w:color w:val="000000"/>
          <w:sz w:val="24"/>
          <w:szCs w:val="24"/>
        </w:rPr>
        <w:t xml:space="preserve">5.1 Rodada 1 — resumo (v1, com o incidente da Seção 4)</w:t>
      </w:r>
    </w:p>
    <w:p>
      <w:pPr>
        <w:keepNext/>
        <w:spacing w:after="80" w:before="240" w:line="240"/>
      </w:pPr>
      <w:r>
        <w:rPr>
          <w:rFonts w:ascii="Times New Roman" w:cs="Times New Roman" w:eastAsia="Times New Roman" w:hAnsi="Times New Roman"/>
          <w:color w:val="000000"/>
          <w:sz w:val="20"/>
          <w:szCs w:val="20"/>
        </w:rPr>
        <w:t xml:space="preserve">Quadro 4 - Síntese da Rodada 1</w:t>
      </w:r>
    </w:p>
    <w:tbl>
      <w:tblPr>
        <w:tblW w:type="dxa" w:w="8672"/>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3072"/>
      </w:tblGrid>
      <w:tr>
        <w:trPr>
          <w:cantSplit/>
          <w:tblHeader/>
        </w:trPr>
        <w:tc>
          <w:tcPr>
            <w:tcW w:type="dxa" w:w="3600"/>
            <w:shd w:fill="D9D9D9" w:color="auto" w:val="clear"/>
            <w:tcMar>
              <w:top w:type="dxa" w:w="70"/>
              <w:left w:type="dxa" w:w="100"/>
              <w:bottom w:type="dxa" w:w="70"/>
              <w:right w:type="dxa" w:w="100"/>
            </w:tcMar>
          </w:tcPr>
          <w:p>
            <w:pPr>
              <w:spacing w:after="0" w:line="240"/>
            </w:pPr>
            <w:r>
              <w:rPr>
                <w:rFonts w:ascii="Times New Roman" w:cs="Times New Roman" w:eastAsia="Times New Roman" w:hAnsi="Times New Roman"/>
                <w:b/>
                <w:bCs/>
                <w:i w:val="false"/>
                <w:iCs w:val="false"/>
                <w:color w:val="000000"/>
                <w:sz w:val="20"/>
                <w:szCs w:val="20"/>
              </w:rPr>
              <w:t xml:space="preserve">Métrica</w:t>
            </w:r>
          </w:p>
        </w:tc>
        <w:tc>
          <w:tcPr>
            <w:tcW w:type="dxa" w:w="2000"/>
            <w:shd w:fill="D9D9D9" w:color="auto" w:val="clear"/>
            <w:tcMar>
              <w:top w:type="dxa" w:w="70"/>
              <w:left w:type="dxa" w:w="100"/>
              <w:bottom w:type="dxa" w:w="70"/>
              <w:right w:type="dxa" w:w="100"/>
            </w:tcMar>
          </w:tcPr>
          <w:p>
            <w:pPr>
              <w:spacing w:after="0" w:line="240"/>
            </w:pPr>
            <w:r>
              <w:rPr>
                <w:rFonts w:ascii="Times New Roman" w:cs="Times New Roman" w:eastAsia="Times New Roman" w:hAnsi="Times New Roman"/>
                <w:b/>
                <w:bCs/>
                <w:i w:val="false"/>
                <w:iCs w:val="false"/>
                <w:color w:val="000000"/>
                <w:sz w:val="20"/>
                <w:szCs w:val="20"/>
              </w:rPr>
              <w:t xml:space="preserve">Valor</w:t>
            </w:r>
          </w:p>
        </w:tc>
        <w:tc>
          <w:tcPr>
            <w:tcW w:type="dxa" w:w="3072"/>
            <w:shd w:fill="D9D9D9" w:color="auto" w:val="clear"/>
            <w:tcMar>
              <w:top w:type="dxa" w:w="70"/>
              <w:left w:type="dxa" w:w="100"/>
              <w:bottom w:type="dxa" w:w="70"/>
              <w:right w:type="dxa" w:w="100"/>
            </w:tcMar>
          </w:tcPr>
          <w:p>
            <w:pPr>
              <w:spacing w:after="0" w:line="240"/>
            </w:pPr>
            <w:r>
              <w:rPr>
                <w:rFonts w:ascii="Times New Roman" w:cs="Times New Roman" w:eastAsia="Times New Roman" w:hAnsi="Times New Roman"/>
                <w:b/>
                <w:bCs/>
                <w:i w:val="false"/>
                <w:iCs w:val="false"/>
                <w:color w:val="000000"/>
                <w:sz w:val="20"/>
                <w:szCs w:val="20"/>
              </w:rPr>
              <w:t xml:space="preserve">Observação</w:t>
            </w:r>
          </w:p>
        </w:tc>
      </w:tr>
      <w:tr>
        <w:trPr>
          <w:cantSplit/>
          <w:tblHeader w:val="false"/>
        </w:trPr>
        <w:tc>
          <w:tcPr>
            <w:tcW w:type="dxa" w:w="3600"/>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Pacientes no piloto</w:t>
            </w:r>
          </w:p>
        </w:tc>
        <w:tc>
          <w:tcPr>
            <w:tcW w:type="dxa" w:w="2000"/>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25</w:t>
            </w:r>
          </w:p>
        </w:tc>
        <w:tc>
          <w:tcPr>
            <w:tcW w:type="dxa" w:w="3072"/>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
            </w:r>
          </w:p>
        </w:tc>
      </w:tr>
      <w:tr>
        <w:trPr>
          <w:cantSplit/>
          <w:tblHeader w:val="false"/>
        </w:trPr>
        <w:tc>
          <w:tcPr>
            <w:tcW w:type="dxa" w:w="3600"/>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Pacientes com ao menos 1 nódulo extraído</w:t>
            </w:r>
          </w:p>
        </w:tc>
        <w:tc>
          <w:tcPr>
            <w:tcW w:type="dxa" w:w="2000"/>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20</w:t>
            </w:r>
          </w:p>
        </w:tc>
        <w:tc>
          <w:tcPr>
            <w:tcW w:type="dxa" w:w="3072"/>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
            </w:r>
          </w:p>
        </w:tc>
      </w:tr>
      <w:tr>
        <w:trPr>
          <w:cantSplit/>
          <w:tblHeader w:val="false"/>
        </w:trPr>
        <w:tc>
          <w:tcPr>
            <w:tcW w:type="dxa" w:w="3600"/>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Nódulos extraídos (execução sem o bug manifesto)</w:t>
            </w:r>
          </w:p>
        </w:tc>
        <w:tc>
          <w:tcPr>
            <w:tcW w:type="dxa" w:w="2000"/>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44</w:t>
            </w:r>
          </w:p>
        </w:tc>
        <w:tc>
          <w:tcPr>
            <w:tcW w:type="dxa" w:w="3072"/>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ver Quadro 2 para a divergência entre execuções</w:t>
            </w:r>
          </w:p>
        </w:tc>
      </w:tr>
      <w:tr>
        <w:trPr>
          <w:cantSplit/>
          <w:tblHeader w:val="false"/>
        </w:trPr>
        <w:tc>
          <w:tcPr>
            <w:tcW w:type="dxa" w:w="3600"/>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Indeterminados (valor central = 3)</w:t>
            </w:r>
          </w:p>
        </w:tc>
        <w:tc>
          <w:tcPr>
            <w:tcW w:type="dxa" w:w="2000"/>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17 (38,6%)</w:t>
            </w:r>
          </w:p>
        </w:tc>
        <w:tc>
          <w:tcPr>
            <w:tcW w:type="dxa" w:w="3072"/>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decisão pendente do grupo, ver Seção 3.3</w:t>
            </w:r>
          </w:p>
        </w:tc>
      </w:tr>
      <w:tr>
        <w:trPr>
          <w:cantSplit/>
          <w:tblHeader w:val="false"/>
        </w:trPr>
        <w:tc>
          <w:tcPr>
            <w:tcW w:type="dxa" w:w="3600"/>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Alvo = 0 (benigno)</w:t>
            </w:r>
          </w:p>
        </w:tc>
        <w:tc>
          <w:tcPr>
            <w:tcW w:type="dxa" w:w="2000"/>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8</w:t>
            </w:r>
          </w:p>
        </w:tc>
        <w:tc>
          <w:tcPr>
            <w:tcW w:type="dxa" w:w="3072"/>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
            </w:r>
          </w:p>
        </w:tc>
      </w:tr>
      <w:tr>
        <w:trPr>
          <w:cantSplit/>
          <w:tblHeader w:val="false"/>
        </w:trPr>
        <w:tc>
          <w:tcPr>
            <w:tcW w:type="dxa" w:w="3600"/>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Alvo = 1 (maligno)</w:t>
            </w:r>
          </w:p>
        </w:tc>
        <w:tc>
          <w:tcPr>
            <w:tcW w:type="dxa" w:w="2000"/>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19</w:t>
            </w:r>
          </w:p>
        </w:tc>
        <w:tc>
          <w:tcPr>
            <w:tcW w:type="dxa" w:w="3072"/>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
            </w:r>
          </w:p>
        </w:tc>
      </w:tr>
      <w:tr>
        <w:trPr>
          <w:cantSplit/>
          <w:tblHeader w:val="false"/>
        </w:trPr>
        <w:tc>
          <w:tcPr>
            <w:tcW w:type="dxa" w:w="3600"/>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Colunas com NaN, Inf ou constantes</w:t>
            </w:r>
          </w:p>
        </w:tc>
        <w:tc>
          <w:tcPr>
            <w:tcW w:type="dxa" w:w="2000"/>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0, 0, 0</w:t>
            </w:r>
          </w:p>
        </w:tc>
        <w:tc>
          <w:tcPr>
            <w:tcW w:type="dxa" w:w="3072"/>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na tabela final produzida</w:t>
            </w:r>
          </w:p>
        </w:tc>
      </w:tr>
      <w:tr>
        <w:trPr>
          <w:cantSplit/>
          <w:tblHeader w:val="false"/>
        </w:trPr>
        <w:tc>
          <w:tcPr>
            <w:tcW w:type="dxa" w:w="3600"/>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Sphericity fora de [0,1]</w:t>
            </w:r>
          </w:p>
        </w:tc>
        <w:tc>
          <w:tcPr>
            <w:tcW w:type="dxa" w:w="2000"/>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0</w:t>
            </w:r>
          </w:p>
        </w:tc>
        <w:tc>
          <w:tcPr>
            <w:tcW w:type="dxa" w:w="3072"/>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
            </w:r>
          </w:p>
        </w:tc>
      </w:tr>
    </w:tbl>
    <w:p>
      <w:pPr>
        <w:spacing w:after="240" w:before="80" w:line="240"/>
      </w:pPr>
      <w:r>
        <w:rPr>
          <w:rFonts w:ascii="Times New Roman" w:cs="Times New Roman" w:eastAsia="Times New Roman" w:hAnsi="Times New Roman"/>
          <w:color w:val="000000"/>
          <w:sz w:val="20"/>
          <w:szCs w:val="20"/>
        </w:rPr>
        <w:t xml:space="preserve">Fonte: validacao_piloto_v1_consenso50.json.</w:t>
      </w:r>
    </w:p>
    <w:p>
      <w:pPr>
        <w:pStyle w:val="Heading2"/>
        <w:spacing w:after="200" w:before="280" w:line="360"/>
      </w:pPr>
      <w:r>
        <w:rPr>
          <w:rFonts w:ascii="Times New Roman" w:cs="Times New Roman" w:eastAsia="Times New Roman" w:hAnsi="Times New Roman"/>
          <w:b/>
          <w:bCs/>
          <w:color w:val="000000"/>
          <w:sz w:val="24"/>
          <w:szCs w:val="24"/>
        </w:rPr>
        <w:t xml:space="preserve">5.2 Rodada 2 — [ data ] (v2, corrigida)</w:t>
      </w:r>
    </w:p>
    <w:p>
      <w:pPr>
        <w:pStyle w:val="Heading2"/>
        <w:spacing w:after="200" w:before="280" w:line="360"/>
      </w:pPr>
      <w:r>
        <w:rPr>
          <w:rFonts w:ascii="Times New Roman" w:cs="Times New Roman" w:eastAsia="Times New Roman" w:hAnsi="Times New Roman"/>
          <w:b/>
          <w:bCs/>
          <w:color w:val="000000"/>
          <w:sz w:val="24"/>
          <w:szCs w:val="24"/>
        </w:rPr>
        <w:t xml:space="preserve">5.2.1 Volume processado</w:t>
      </w:r>
    </w:p>
    <w:p>
      <w:pPr>
        <w:spacing w:after="0" w:line="360"/>
        <w:ind w:firstLine="709"/>
        <w:jc w:val="both"/>
      </w:pPr>
      <w:r>
        <w:rPr>
          <w:rFonts w:ascii="Times New Roman" w:cs="Times New Roman" w:eastAsia="Times New Roman" w:hAnsi="Times New Roman"/>
          <w:color w:val="000000"/>
          <w:sz w:val="24"/>
          <w:szCs w:val="24"/>
        </w:rPr>
        <w:t xml:space="preserve">Esta subseção reúne duas execuções da extração completa sobre os 25 pacientes: a primeira, anterior à correção de margem de contexto (Seção 4.4), e a segunda, posterior a ela, repetida deliberadamente para confirmar que a correção vale também na escala do piloto inteiro, e não apenas na amostra de 10 pacientes usada no teste de determinismo.</w:t>
      </w:r>
    </w:p>
    <w:p>
      <w:pPr>
        <w:keepNext/>
        <w:spacing w:after="80" w:before="240" w:line="240"/>
      </w:pPr>
      <w:r>
        <w:rPr>
          <w:rFonts w:ascii="Times New Roman" w:cs="Times New Roman" w:eastAsia="Times New Roman" w:hAnsi="Times New Roman"/>
          <w:color w:val="000000"/>
          <w:sz w:val="20"/>
          <w:szCs w:val="20"/>
        </w:rPr>
        <w:t xml:space="preserve">Quadro 5 - Cobertura da extração, antes e depois da correção de margem de contexto</w:t>
      </w:r>
    </w:p>
    <w:tbl>
      <w:tblPr>
        <w:tblW w:type="dxa" w:w="9672"/>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1800"/>
        <w:gridCol w:w="2872"/>
      </w:tblGrid>
      <w:tr>
        <w:trPr>
          <w:cantSplit/>
          <w:tblHeader/>
        </w:trPr>
        <w:tc>
          <w:tcPr>
            <w:tcW w:type="dxa" w:w="3200"/>
            <w:shd w:fill="D9D9D9" w:color="auto" w:val="clear"/>
            <w:tcMar>
              <w:top w:type="dxa" w:w="70"/>
              <w:left w:type="dxa" w:w="100"/>
              <w:bottom w:type="dxa" w:w="70"/>
              <w:right w:type="dxa" w:w="100"/>
            </w:tcMar>
          </w:tcPr>
          <w:p>
            <w:pPr>
              <w:spacing w:after="0" w:line="240"/>
            </w:pPr>
            <w:r>
              <w:rPr>
                <w:rFonts w:ascii="Times New Roman" w:cs="Times New Roman" w:eastAsia="Times New Roman" w:hAnsi="Times New Roman"/>
                <w:b/>
                <w:bCs/>
                <w:i w:val="false"/>
                <w:iCs w:val="false"/>
                <w:color w:val="000000"/>
                <w:sz w:val="20"/>
                <w:szCs w:val="20"/>
              </w:rPr>
              <w:t xml:space="preserve">Métrica</w:t>
            </w:r>
          </w:p>
        </w:tc>
        <w:tc>
          <w:tcPr>
            <w:tcW w:type="dxa" w:w="1800"/>
            <w:shd w:fill="D9D9D9" w:color="auto" w:val="clear"/>
            <w:tcMar>
              <w:top w:type="dxa" w:w="70"/>
              <w:left w:type="dxa" w:w="100"/>
              <w:bottom w:type="dxa" w:w="70"/>
              <w:right w:type="dxa" w:w="100"/>
            </w:tcMar>
          </w:tcPr>
          <w:p>
            <w:pPr>
              <w:spacing w:after="0" w:line="240"/>
            </w:pPr>
            <w:r>
              <w:rPr>
                <w:rFonts w:ascii="Times New Roman" w:cs="Times New Roman" w:eastAsia="Times New Roman" w:hAnsi="Times New Roman"/>
                <w:b/>
                <w:bCs/>
                <w:i w:val="false"/>
                <w:iCs w:val="false"/>
                <w:color w:val="000000"/>
                <w:sz w:val="20"/>
                <w:szCs w:val="20"/>
              </w:rPr>
              <w:t xml:space="preserve">Antes da correção (13.1)</w:t>
            </w:r>
          </w:p>
        </w:tc>
        <w:tc>
          <w:tcPr>
            <w:tcW w:type="dxa" w:w="1800"/>
            <w:shd w:fill="D9D9D9" w:color="auto" w:val="clear"/>
            <w:tcMar>
              <w:top w:type="dxa" w:w="70"/>
              <w:left w:type="dxa" w:w="100"/>
              <w:bottom w:type="dxa" w:w="70"/>
              <w:right w:type="dxa" w:w="100"/>
            </w:tcMar>
          </w:tcPr>
          <w:p>
            <w:pPr>
              <w:spacing w:after="0" w:line="240"/>
            </w:pPr>
            <w:r>
              <w:rPr>
                <w:rFonts w:ascii="Times New Roman" w:cs="Times New Roman" w:eastAsia="Times New Roman" w:hAnsi="Times New Roman"/>
                <w:b/>
                <w:bCs/>
                <w:i w:val="false"/>
                <w:iCs w:val="false"/>
                <w:color w:val="000000"/>
                <w:sz w:val="20"/>
                <w:szCs w:val="20"/>
              </w:rPr>
              <w:t xml:space="preserve">Depois da correção (13.1)</w:t>
            </w:r>
          </w:p>
        </w:tc>
        <w:tc>
          <w:tcPr>
            <w:tcW w:type="dxa" w:w="2872"/>
            <w:shd w:fill="D9D9D9" w:color="auto" w:val="clear"/>
            <w:tcMar>
              <w:top w:type="dxa" w:w="70"/>
              <w:left w:type="dxa" w:w="100"/>
              <w:bottom w:type="dxa" w:w="70"/>
              <w:right w:type="dxa" w:w="100"/>
            </w:tcMar>
          </w:tcPr>
          <w:p>
            <w:pPr>
              <w:spacing w:after="0" w:line="240"/>
            </w:pPr>
            <w:r>
              <w:rPr>
                <w:rFonts w:ascii="Times New Roman" w:cs="Times New Roman" w:eastAsia="Times New Roman" w:hAnsi="Times New Roman"/>
                <w:b/>
                <w:bCs/>
                <w:i w:val="false"/>
                <w:iCs w:val="false"/>
                <w:color w:val="000000"/>
                <w:sz w:val="20"/>
                <w:szCs w:val="20"/>
              </w:rPr>
              <w:t xml:space="preserve">Observação</w:t>
            </w:r>
          </w:p>
        </w:tc>
      </w:tr>
      <w:tr>
        <w:trPr>
          <w:cantSplit/>
          <w:tblHeader w:val="false"/>
        </w:trPr>
        <w:tc>
          <w:tcPr>
            <w:tcW w:type="dxa" w:w="3200"/>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Pacientes no piloto</w:t>
            </w:r>
          </w:p>
        </w:tc>
        <w:tc>
          <w:tcPr>
            <w:tcW w:type="dxa" w:w="1800"/>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25</w:t>
            </w:r>
          </w:p>
        </w:tc>
        <w:tc>
          <w:tcPr>
            <w:tcW w:type="dxa" w:w="1800"/>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25</w:t>
            </w:r>
          </w:p>
        </w:tc>
        <w:tc>
          <w:tcPr>
            <w:tcW w:type="dxa" w:w="2872"/>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idêntico</w:t>
            </w:r>
          </w:p>
        </w:tc>
      </w:tr>
      <w:tr>
        <w:trPr>
          <w:cantSplit/>
          <w:tblHeader w:val="false"/>
        </w:trPr>
        <w:tc>
          <w:tcPr>
            <w:tcW w:type="dxa" w:w="3200"/>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Pacientes com ao menos 1 nódulo extraído</w:t>
            </w:r>
          </w:p>
        </w:tc>
        <w:tc>
          <w:tcPr>
            <w:tcW w:type="dxa" w:w="1800"/>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20</w:t>
            </w:r>
          </w:p>
        </w:tc>
        <w:tc>
          <w:tcPr>
            <w:tcW w:type="dxa" w:w="1800"/>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20</w:t>
            </w:r>
          </w:p>
        </w:tc>
        <w:tc>
          <w:tcPr>
            <w:tcW w:type="dxa" w:w="2872"/>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idêntico</w:t>
            </w:r>
          </w:p>
        </w:tc>
      </w:tr>
      <w:tr>
        <w:trPr>
          <w:cantSplit/>
          <w:tblHeader w:val="false"/>
        </w:trPr>
        <w:tc>
          <w:tcPr>
            <w:tcW w:type="dxa" w:w="3200"/>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Nódulos extraídos</w:t>
            </w:r>
          </w:p>
        </w:tc>
        <w:tc>
          <w:tcPr>
            <w:tcW w:type="dxa" w:w="1800"/>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44</w:t>
            </w:r>
          </w:p>
        </w:tc>
        <w:tc>
          <w:tcPr>
            <w:tcW w:type="dxa" w:w="1800"/>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44</w:t>
            </w:r>
          </w:p>
        </w:tc>
        <w:tc>
          <w:tcPr>
            <w:tcW w:type="dxa" w:w="2872"/>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idêntico</w:t>
            </w:r>
          </w:p>
        </w:tc>
      </w:tr>
      <w:tr>
        <w:trPr>
          <w:cantSplit/>
          <w:tblHeader w:val="false"/>
        </w:trPr>
        <w:tc>
          <w:tcPr>
            <w:tcW w:type="dxa" w:w="3200"/>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Nódulos descartados</w:t>
            </w:r>
          </w:p>
        </w:tc>
        <w:tc>
          <w:tcPr>
            <w:tcW w:type="dxa" w:w="1800"/>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30</w:t>
            </w:r>
          </w:p>
        </w:tc>
        <w:tc>
          <w:tcPr>
            <w:tcW w:type="dxa" w:w="1800"/>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30</w:t>
            </w:r>
          </w:p>
        </w:tc>
        <w:tc>
          <w:tcPr>
            <w:tcW w:type="dxa" w:w="2872"/>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idêntico</w:t>
            </w:r>
          </w:p>
        </w:tc>
      </w:tr>
      <w:tr>
        <w:trPr>
          <w:cantSplit/>
          <w:tblHeader w:val="false"/>
        </w:trPr>
        <w:tc>
          <w:tcPr>
            <w:tcW w:type="dxa" w:w="3200"/>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Falhas de extração</w:t>
            </w:r>
          </w:p>
        </w:tc>
        <w:tc>
          <w:tcPr>
            <w:tcW w:type="dxa" w:w="1800"/>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0</w:t>
            </w:r>
          </w:p>
        </w:tc>
        <w:tc>
          <w:tcPr>
            <w:tcW w:type="dxa" w:w="1800"/>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0</w:t>
            </w:r>
          </w:p>
        </w:tc>
        <w:tc>
          <w:tcPr>
            <w:tcW w:type="dxa" w:w="2872"/>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idêntico</w:t>
            </w:r>
          </w:p>
        </w:tc>
      </w:tr>
      <w:tr>
        <w:trPr>
          <w:cantSplit/>
          <w:tblHeader w:val="false"/>
        </w:trPr>
        <w:tc>
          <w:tcPr>
            <w:tcW w:type="dxa" w:w="3200"/>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Avisos de overflow durante a execução</w:t>
            </w:r>
          </w:p>
        </w:tc>
        <w:tc>
          <w:tcPr>
            <w:tcW w:type="dxa" w:w="1800"/>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não registrado nesta escala</w:t>
            </w:r>
          </w:p>
        </w:tc>
        <w:tc>
          <w:tcPr>
            <w:tcW w:type="dxa" w:w="1800"/>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nenhum</w:t>
            </w:r>
          </w:p>
        </w:tc>
        <w:tc>
          <w:tcPr>
            <w:tcW w:type="dxa" w:w="2872"/>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a correção foi validada antes na amostra de 10; aqui confirma-se que também não houve overflow na escala de 25</w:t>
            </w:r>
          </w:p>
        </w:tc>
      </w:tr>
      <w:tr>
        <w:trPr>
          <w:cantSplit/>
          <w:tblHeader w:val="false"/>
        </w:trPr>
        <w:tc>
          <w:tcPr>
            <w:tcW w:type="dxa" w:w="3200"/>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Tempo médio por paciente (últimos 5)</w:t>
            </w:r>
          </w:p>
        </w:tc>
        <w:tc>
          <w:tcPr>
            <w:tcW w:type="dxa" w:w="1800"/>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2,2 s</w:t>
            </w:r>
          </w:p>
        </w:tc>
        <w:tc>
          <w:tcPr>
            <w:tcW w:type="dxa" w:w="1800"/>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2,2 s</w:t>
            </w:r>
          </w:p>
        </w:tc>
        <w:tc>
          <w:tcPr>
            <w:tcW w:type="dxa" w:w="2872"/>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sem impacto de desempenho perceptível</w:t>
            </w:r>
          </w:p>
        </w:tc>
      </w:tr>
    </w:tbl>
    <w:p>
      <w:pPr>
        <w:spacing w:after="240" w:before="80" w:line="240"/>
      </w:pPr>
      <w:r>
        <w:rPr>
          <w:rFonts w:ascii="Times New Roman" w:cs="Times New Roman" w:eastAsia="Times New Roman" w:hAnsi="Times New Roman"/>
          <w:color w:val="000000"/>
          <w:sz w:val="20"/>
          <w:szCs w:val="20"/>
        </w:rPr>
        <w:t xml:space="preserve">Fonte: saída da Célula 10 do notebook piloto_v2, em duas execuções sucessivas.</w:t>
      </w:r>
    </w:p>
    <w:p>
      <w:pPr>
        <w:spacing w:after="0" w:line="360"/>
        <w:ind w:firstLine="709"/>
        <w:jc w:val="both"/>
      </w:pPr>
      <w:r>
        <w:rPr>
          <w:rFonts w:ascii="Times New Roman" w:cs="Times New Roman" w:eastAsia="Times New Roman" w:hAnsi="Times New Roman"/>
          <w:color w:val="000000"/>
          <w:sz w:val="24"/>
          <w:szCs w:val="24"/>
        </w:rPr>
        <w:t xml:space="preserve">A repetição da extração completa produziu exatamente os mesmos 44 nódulos e os mesmos 30 descartes, sem qualquer aviso de overflow. Isso fecha a ressalva metodológica em aberto até este ponto: a correção de margem de contexto, confirmada como suficiente para eliminar o não determinismo na amostra de 10 pacientes usada no teste da Seção 5.3, produz também resultado estável na escala do piloto completo. Não há, portanto, evidência de que a correção seja válida apenas para a amostra pequena e insuficiente para o conjunto maior.</w:t>
      </w:r>
    </w:p>
    <w:p>
      <w:pPr>
        <w:pStyle w:val="Heading2"/>
        <w:spacing w:after="200" w:before="280" w:line="360"/>
      </w:pPr>
      <w:r>
        <w:rPr>
          <w:rFonts w:ascii="Times New Roman" w:cs="Times New Roman" w:eastAsia="Times New Roman" w:hAnsi="Times New Roman"/>
          <w:b/>
          <w:bCs/>
          <w:color w:val="000000"/>
          <w:sz w:val="24"/>
          <w:szCs w:val="24"/>
        </w:rPr>
        <w:t xml:space="preserve">5.2.2 Motivos de descarte</w:t>
      </w:r>
    </w:p>
    <w:p>
      <w:pPr>
        <w:keepNext/>
        <w:spacing w:after="80" w:before="240" w:line="240"/>
      </w:pPr>
      <w:r>
        <w:rPr>
          <w:rFonts w:ascii="Times New Roman" w:cs="Times New Roman" w:eastAsia="Times New Roman" w:hAnsi="Times New Roman"/>
          <w:color w:val="000000"/>
          <w:sz w:val="20"/>
          <w:szCs w:val="20"/>
        </w:rPr>
        <w:t xml:space="preserve">Quadro 6 - Nódulos descartados, por motivo</w:t>
      </w:r>
    </w:p>
    <w:tbl>
      <w:tblPr>
        <w:tblW w:type="dxa" w:w="8672"/>
        <w:tblBorders>
          <w:top w:val="single" w:color="auto" w:sz="4"/>
          <w:left w:val="single" w:color="auto" w:sz="4"/>
          <w:bottom w:val="single" w:color="auto" w:sz="4"/>
          <w:right w:val="single" w:color="auto" w:sz="4"/>
          <w:insideH w:val="single" w:color="auto" w:sz="4"/>
          <w:insideV w:val="single" w:color="auto" w:sz="4"/>
        </w:tblBorders>
      </w:tblPr>
      <w:tblGrid>
        <w:gridCol w:w="4000"/>
        <w:gridCol w:w="1600"/>
        <w:gridCol w:w="3072"/>
      </w:tblGrid>
      <w:tr>
        <w:trPr>
          <w:cantSplit/>
          <w:tblHeader/>
        </w:trPr>
        <w:tc>
          <w:tcPr>
            <w:tcW w:type="dxa" w:w="4000"/>
            <w:shd w:fill="D9D9D9" w:color="auto" w:val="clear"/>
            <w:tcMar>
              <w:top w:type="dxa" w:w="70"/>
              <w:left w:type="dxa" w:w="100"/>
              <w:bottom w:type="dxa" w:w="70"/>
              <w:right w:type="dxa" w:w="100"/>
            </w:tcMar>
          </w:tcPr>
          <w:p>
            <w:pPr>
              <w:spacing w:after="0" w:line="240"/>
            </w:pPr>
            <w:r>
              <w:rPr>
                <w:rFonts w:ascii="Times New Roman" w:cs="Times New Roman" w:eastAsia="Times New Roman" w:hAnsi="Times New Roman"/>
                <w:b/>
                <w:bCs/>
                <w:i w:val="false"/>
                <w:iCs w:val="false"/>
                <w:color w:val="000000"/>
                <w:sz w:val="20"/>
                <w:szCs w:val="20"/>
              </w:rPr>
              <w:t xml:space="preserve">Motivo</w:t>
            </w:r>
          </w:p>
        </w:tc>
        <w:tc>
          <w:tcPr>
            <w:tcW w:type="dxa" w:w="1600"/>
            <w:shd w:fill="D9D9D9" w:color="auto" w:val="clear"/>
            <w:tcMar>
              <w:top w:type="dxa" w:w="70"/>
              <w:left w:type="dxa" w:w="100"/>
              <w:bottom w:type="dxa" w:w="70"/>
              <w:right w:type="dxa" w:w="100"/>
            </w:tcMar>
          </w:tcPr>
          <w:p>
            <w:pPr>
              <w:spacing w:after="0" w:line="240"/>
            </w:pPr>
            <w:r>
              <w:rPr>
                <w:rFonts w:ascii="Times New Roman" w:cs="Times New Roman" w:eastAsia="Times New Roman" w:hAnsi="Times New Roman"/>
                <w:b/>
                <w:bCs/>
                <w:i w:val="false"/>
                <w:iCs w:val="false"/>
                <w:color w:val="000000"/>
                <w:sz w:val="20"/>
                <w:szCs w:val="20"/>
              </w:rPr>
              <w:t xml:space="preserve">Quantidade</w:t>
            </w:r>
          </w:p>
        </w:tc>
        <w:tc>
          <w:tcPr>
            <w:tcW w:type="dxa" w:w="3072"/>
            <w:shd w:fill="D9D9D9" w:color="auto" w:val="clear"/>
            <w:tcMar>
              <w:top w:type="dxa" w:w="70"/>
              <w:left w:type="dxa" w:w="100"/>
              <w:bottom w:type="dxa" w:w="70"/>
              <w:right w:type="dxa" w:w="100"/>
            </w:tcMar>
          </w:tcPr>
          <w:p>
            <w:pPr>
              <w:spacing w:after="0" w:line="240"/>
            </w:pPr>
            <w:r>
              <w:rPr>
                <w:rFonts w:ascii="Times New Roman" w:cs="Times New Roman" w:eastAsia="Times New Roman" w:hAnsi="Times New Roman"/>
                <w:b/>
                <w:bCs/>
                <w:i w:val="false"/>
                <w:iCs w:val="false"/>
                <w:color w:val="000000"/>
                <w:sz w:val="20"/>
                <w:szCs w:val="20"/>
              </w:rPr>
              <w:t xml:space="preserve">Implicação</w:t>
            </w:r>
          </w:p>
        </w:tc>
      </w:tr>
      <w:tr>
        <w:trPr>
          <w:cantSplit/>
          <w:tblHeader w:val="false"/>
        </w:trPr>
        <w:tc>
          <w:tcPr>
            <w:tcW w:type="dxa" w:w="4000"/>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Leitores insuficientes</w:t>
            </w:r>
          </w:p>
        </w:tc>
        <w:tc>
          <w:tcPr>
            <w:tcW w:type="dxa" w:w="1600"/>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30</w:t>
            </w:r>
          </w:p>
        </w:tc>
        <w:tc>
          <w:tcPr>
            <w:tcW w:type="dxa" w:w="3072"/>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único motivo de descarte nesta rodada</w:t>
            </w:r>
          </w:p>
        </w:tc>
      </w:tr>
      <w:tr>
        <w:trPr>
          <w:cantSplit/>
          <w:tblHeader w:val="false"/>
        </w:trPr>
        <w:tc>
          <w:tcPr>
            <w:tcW w:type="dxa" w:w="4000"/>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Diâmetro abaixo do mínimo</w:t>
            </w:r>
          </w:p>
        </w:tc>
        <w:tc>
          <w:tcPr>
            <w:tcW w:type="dxa" w:w="1600"/>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0</w:t>
            </w:r>
          </w:p>
        </w:tc>
        <w:tc>
          <w:tcPr>
            <w:tcW w:type="dxa" w:w="3072"/>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
            </w:r>
          </w:p>
        </w:tc>
      </w:tr>
      <w:tr>
        <w:trPr>
          <w:cantSplit/>
          <w:tblHeader w:val="false"/>
        </w:trPr>
        <w:tc>
          <w:tcPr>
            <w:tcW w:type="dxa" w:w="4000"/>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Valor central 3 (se excluído)</w:t>
            </w:r>
          </w:p>
        </w:tc>
        <w:tc>
          <w:tcPr>
            <w:tcW w:type="dxa" w:w="1600"/>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0</w:t>
            </w:r>
          </w:p>
        </w:tc>
        <w:tc>
          <w:tcPr>
            <w:tcW w:type="dxa" w:w="3072"/>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parâmetro está em "marcar", não "excluir"</w:t>
            </w:r>
          </w:p>
        </w:tc>
      </w:tr>
      <w:tr>
        <w:trPr>
          <w:cantSplit/>
          <w:tblHeader w:val="false"/>
        </w:trPr>
        <w:tc>
          <w:tcPr>
            <w:tcW w:type="dxa" w:w="4000"/>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Máscara vazia</w:t>
            </w:r>
          </w:p>
        </w:tc>
        <w:tc>
          <w:tcPr>
            <w:tcW w:type="dxa" w:w="1600"/>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0</w:t>
            </w:r>
          </w:p>
        </w:tc>
        <w:tc>
          <w:tcPr>
            <w:tcW w:type="dxa" w:w="3072"/>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
            </w:r>
          </w:p>
        </w:tc>
      </w:tr>
      <w:tr>
        <w:trPr>
          <w:cantSplit/>
          <w:tblHeader w:val="false"/>
        </w:trPr>
        <w:tc>
          <w:tcPr>
            <w:tcW w:type="dxa" w:w="4000"/>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Intensidade não finita (novo motivo, Seção 4.3)</w:t>
            </w:r>
          </w:p>
        </w:tc>
        <w:tc>
          <w:tcPr>
            <w:tcW w:type="dxa" w:w="1600"/>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0</w:t>
            </w:r>
          </w:p>
        </w:tc>
        <w:tc>
          <w:tcPr>
            <w:tcW w:type="dxa" w:w="3072"/>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o bug da v1 não se repetiu — ver Seção 12.7</w:t>
            </w:r>
          </w:p>
        </w:tc>
      </w:tr>
      <w:tr>
        <w:trPr>
          <w:cantSplit/>
          <w:tblHeader w:val="false"/>
        </w:trPr>
        <w:tc>
          <w:tcPr>
            <w:tcW w:type="dxa" w:w="4000"/>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Erro na extração (após 2 tentativas)</w:t>
            </w:r>
          </w:p>
        </w:tc>
        <w:tc>
          <w:tcPr>
            <w:tcW w:type="dxa" w:w="1600"/>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0</w:t>
            </w:r>
          </w:p>
        </w:tc>
        <w:tc>
          <w:tcPr>
            <w:tcW w:type="dxa" w:w="3072"/>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nenhuma falha residual</w:t>
            </w:r>
          </w:p>
        </w:tc>
      </w:tr>
    </w:tbl>
    <w:p>
      <w:pPr>
        <w:spacing w:after="240" w:before="80" w:line="240"/>
      </w:pPr>
      <w:r>
        <w:rPr>
          <w:rFonts w:ascii="Times New Roman" w:cs="Times New Roman" w:eastAsia="Times New Roman" w:hAnsi="Times New Roman"/>
          <w:color w:val="000000"/>
          <w:sz w:val="20"/>
          <w:szCs w:val="20"/>
        </w:rPr>
        <w:t xml:space="preserve">Fonte: descartes_piloto_v2_consenso50.csv (pasta features/ no Drive).</w:t>
      </w:r>
    </w:p>
    <w:p>
      <w:pPr>
        <w:pStyle w:val="Heading2"/>
        <w:spacing w:after="200" w:before="280" w:line="360"/>
      </w:pPr>
      <w:r>
        <w:rPr>
          <w:rFonts w:ascii="Times New Roman" w:cs="Times New Roman" w:eastAsia="Times New Roman" w:hAnsi="Times New Roman"/>
          <w:b/>
          <w:bCs/>
          <w:color w:val="000000"/>
          <w:sz w:val="24"/>
          <w:szCs w:val="24"/>
        </w:rPr>
        <w:t xml:space="preserve">5.2.3 Integridade da tabela de atributos</w:t>
      </w:r>
    </w:p>
    <w:p>
      <w:pPr>
        <w:keepNext/>
        <w:spacing w:after="80" w:before="240" w:line="240"/>
      </w:pPr>
      <w:r>
        <w:rPr>
          <w:rFonts w:ascii="Times New Roman" w:cs="Times New Roman" w:eastAsia="Times New Roman" w:hAnsi="Times New Roman"/>
          <w:color w:val="000000"/>
          <w:sz w:val="20"/>
          <w:szCs w:val="20"/>
        </w:rPr>
        <w:t xml:space="preserve">Quadro 7 - Contagem de atributos por classe</w:t>
      </w:r>
    </w:p>
    <w:tbl>
      <w:tblPr>
        <w:tblW w:type="dxa" w:w="8672"/>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3072"/>
      </w:tblGrid>
      <w:tr>
        <w:trPr>
          <w:cantSplit/>
          <w:tblHeader/>
        </w:trPr>
        <w:tc>
          <w:tcPr>
            <w:tcW w:type="dxa" w:w="2400"/>
            <w:shd w:fill="D9D9D9" w:color="auto" w:val="clear"/>
            <w:tcMar>
              <w:top w:type="dxa" w:w="70"/>
              <w:left w:type="dxa" w:w="100"/>
              <w:bottom w:type="dxa" w:w="70"/>
              <w:right w:type="dxa" w:w="100"/>
            </w:tcMar>
          </w:tcPr>
          <w:p>
            <w:pPr>
              <w:spacing w:after="0" w:line="240"/>
            </w:pPr>
            <w:r>
              <w:rPr>
                <w:rFonts w:ascii="Times New Roman" w:cs="Times New Roman" w:eastAsia="Times New Roman" w:hAnsi="Times New Roman"/>
                <w:b/>
                <w:bCs/>
                <w:i w:val="false"/>
                <w:iCs w:val="false"/>
                <w:color w:val="000000"/>
                <w:sz w:val="20"/>
                <w:szCs w:val="20"/>
              </w:rPr>
              <w:t xml:space="preserve">Classe</w:t>
            </w:r>
          </w:p>
        </w:tc>
        <w:tc>
          <w:tcPr>
            <w:tcW w:type="dxa" w:w="1600"/>
            <w:shd w:fill="D9D9D9" w:color="auto" w:val="clear"/>
            <w:tcMar>
              <w:top w:type="dxa" w:w="70"/>
              <w:left w:type="dxa" w:w="100"/>
              <w:bottom w:type="dxa" w:w="70"/>
              <w:right w:type="dxa" w:w="100"/>
            </w:tcMar>
          </w:tcPr>
          <w:p>
            <w:pPr>
              <w:spacing w:after="0" w:line="240"/>
            </w:pPr>
            <w:r>
              <w:rPr>
                <w:rFonts w:ascii="Times New Roman" w:cs="Times New Roman" w:eastAsia="Times New Roman" w:hAnsi="Times New Roman"/>
                <w:b/>
                <w:bCs/>
                <w:i w:val="false"/>
                <w:iCs w:val="false"/>
                <w:color w:val="000000"/>
                <w:sz w:val="20"/>
                <w:szCs w:val="20"/>
              </w:rPr>
              <w:t xml:space="preserve">Esperado</w:t>
            </w:r>
          </w:p>
        </w:tc>
        <w:tc>
          <w:tcPr>
            <w:tcW w:type="dxa" w:w="1600"/>
            <w:shd w:fill="D9D9D9" w:color="auto" w:val="clear"/>
            <w:tcMar>
              <w:top w:type="dxa" w:w="70"/>
              <w:left w:type="dxa" w:w="100"/>
              <w:bottom w:type="dxa" w:w="70"/>
              <w:right w:type="dxa" w:w="100"/>
            </w:tcMar>
          </w:tcPr>
          <w:p>
            <w:pPr>
              <w:spacing w:after="0" w:line="240"/>
            </w:pPr>
            <w:r>
              <w:rPr>
                <w:rFonts w:ascii="Times New Roman" w:cs="Times New Roman" w:eastAsia="Times New Roman" w:hAnsi="Times New Roman"/>
                <w:b/>
                <w:bCs/>
                <w:i w:val="false"/>
                <w:iCs w:val="false"/>
                <w:color w:val="000000"/>
                <w:sz w:val="20"/>
                <w:szCs w:val="20"/>
              </w:rPr>
              <w:t xml:space="preserve">Obtido</w:t>
            </w:r>
          </w:p>
        </w:tc>
        <w:tc>
          <w:tcPr>
            <w:tcW w:type="dxa" w:w="3072"/>
            <w:shd w:fill="D9D9D9" w:color="auto" w:val="clear"/>
            <w:tcMar>
              <w:top w:type="dxa" w:w="70"/>
              <w:left w:type="dxa" w:w="100"/>
              <w:bottom w:type="dxa" w:w="70"/>
              <w:right w:type="dxa" w:w="100"/>
            </w:tcMar>
          </w:tcPr>
          <w:p>
            <w:pPr>
              <w:spacing w:after="0" w:line="240"/>
            </w:pPr>
            <w:r>
              <w:rPr>
                <w:rFonts w:ascii="Times New Roman" w:cs="Times New Roman" w:eastAsia="Times New Roman" w:hAnsi="Times New Roman"/>
                <w:b/>
                <w:bCs/>
                <w:i w:val="false"/>
                <w:iCs w:val="false"/>
                <w:color w:val="000000"/>
                <w:sz w:val="20"/>
                <w:szCs w:val="20"/>
              </w:rPr>
              <w:t xml:space="preserve">Observação</w:t>
            </w:r>
          </w:p>
        </w:tc>
      </w:tr>
      <w:tr>
        <w:trPr>
          <w:cantSplit/>
          <w:tblHeader w:val="false"/>
        </w:trPr>
        <w:tc>
          <w:tcPr>
            <w:tcW w:type="dxa" w:w="2400"/>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Shape (forma)</w:t>
            </w:r>
          </w:p>
        </w:tc>
        <w:tc>
          <w:tcPr>
            <w:tcW w:type="dxa" w:w="1600"/>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14</w:t>
            </w:r>
          </w:p>
        </w:tc>
        <w:tc>
          <w:tcPr>
            <w:tcW w:type="dxa" w:w="1600"/>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14</w:t>
            </w:r>
          </w:p>
        </w:tc>
        <w:tc>
          <w:tcPr>
            <w:tcW w:type="dxa" w:w="3072"/>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OK</w:t>
            </w:r>
          </w:p>
        </w:tc>
      </w:tr>
      <w:tr>
        <w:trPr>
          <w:cantSplit/>
          <w:tblHeader w:val="false"/>
        </w:trPr>
        <w:tc>
          <w:tcPr>
            <w:tcW w:type="dxa" w:w="2400"/>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First Order (intensidade)</w:t>
            </w:r>
          </w:p>
        </w:tc>
        <w:tc>
          <w:tcPr>
            <w:tcW w:type="dxa" w:w="1600"/>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18</w:t>
            </w:r>
          </w:p>
        </w:tc>
        <w:tc>
          <w:tcPr>
            <w:tcW w:type="dxa" w:w="1600"/>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18</w:t>
            </w:r>
          </w:p>
        </w:tc>
        <w:tc>
          <w:tcPr>
            <w:tcW w:type="dxa" w:w="3072"/>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OK</w:t>
            </w:r>
          </w:p>
        </w:tc>
      </w:tr>
      <w:tr>
        <w:trPr>
          <w:cantSplit/>
          <w:tblHeader w:val="false"/>
        </w:trPr>
        <w:tc>
          <w:tcPr>
            <w:tcW w:type="dxa" w:w="2400"/>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GLCM (textura)</w:t>
            </w:r>
          </w:p>
        </w:tc>
        <w:tc>
          <w:tcPr>
            <w:tcW w:type="dxa" w:w="1600"/>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24</w:t>
            </w:r>
          </w:p>
        </w:tc>
        <w:tc>
          <w:tcPr>
            <w:tcW w:type="dxa" w:w="1600"/>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24</w:t>
            </w:r>
          </w:p>
        </w:tc>
        <w:tc>
          <w:tcPr>
            <w:tcW w:type="dxa" w:w="3072"/>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OK</w:t>
            </w:r>
          </w:p>
        </w:tc>
      </w:tr>
      <w:tr>
        <w:trPr>
          <w:cantSplit/>
          <w:tblHeader w:val="false"/>
        </w:trPr>
        <w:tc>
          <w:tcPr>
            <w:tcW w:type="dxa" w:w="2400"/>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GLRLM (textura)</w:t>
            </w:r>
          </w:p>
        </w:tc>
        <w:tc>
          <w:tcPr>
            <w:tcW w:type="dxa" w:w="1600"/>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16</w:t>
            </w:r>
          </w:p>
        </w:tc>
        <w:tc>
          <w:tcPr>
            <w:tcW w:type="dxa" w:w="1600"/>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16</w:t>
            </w:r>
          </w:p>
        </w:tc>
        <w:tc>
          <w:tcPr>
            <w:tcW w:type="dxa" w:w="3072"/>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OK</w:t>
            </w:r>
          </w:p>
        </w:tc>
      </w:tr>
      <w:tr>
        <w:trPr>
          <w:cantSplit/>
          <w:tblHeader w:val="false"/>
        </w:trPr>
        <w:tc>
          <w:tcPr>
            <w:tcW w:type="dxa" w:w="2400"/>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GLSZM (textura)</w:t>
            </w:r>
          </w:p>
        </w:tc>
        <w:tc>
          <w:tcPr>
            <w:tcW w:type="dxa" w:w="1600"/>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16</w:t>
            </w:r>
          </w:p>
        </w:tc>
        <w:tc>
          <w:tcPr>
            <w:tcW w:type="dxa" w:w="1600"/>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16</w:t>
            </w:r>
          </w:p>
        </w:tc>
        <w:tc>
          <w:tcPr>
            <w:tcW w:type="dxa" w:w="3072"/>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OK</w:t>
            </w:r>
          </w:p>
        </w:tc>
      </w:tr>
      <w:tr>
        <w:trPr>
          <w:cantSplit/>
          <w:tblHeader w:val="false"/>
        </w:trPr>
        <w:tc>
          <w:tcPr>
            <w:tcW w:type="dxa" w:w="2400"/>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TOTAL</w:t>
            </w:r>
          </w:p>
        </w:tc>
        <w:tc>
          <w:tcPr>
            <w:tcW w:type="dxa" w:w="1600"/>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88</w:t>
            </w:r>
          </w:p>
        </w:tc>
        <w:tc>
          <w:tcPr>
            <w:tcW w:type="dxa" w:w="1600"/>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88</w:t>
            </w:r>
          </w:p>
        </w:tc>
        <w:tc>
          <w:tcPr>
            <w:tcW w:type="dxa" w:w="3072"/>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nenhuma classe ausente</w:t>
            </w:r>
          </w:p>
        </w:tc>
      </w:tr>
    </w:tbl>
    <w:p>
      <w:pPr>
        <w:spacing w:after="240" w:before="80" w:line="240"/>
      </w:pPr>
      <w:r>
        <w:rPr>
          <w:rFonts w:ascii="Times New Roman" w:cs="Times New Roman" w:eastAsia="Times New Roman" w:hAnsi="Times New Roman"/>
          <w:color w:val="000000"/>
          <w:sz w:val="20"/>
          <w:szCs w:val="20"/>
        </w:rPr>
        <w:t xml:space="preserve">Fonte: saída da Célula 12.1 do notebook.</w:t>
      </w:r>
    </w:p>
    <w:p>
      <w:pPr>
        <w:keepNext/>
        <w:spacing w:after="80" w:before="240" w:line="240"/>
      </w:pPr>
      <w:r>
        <w:rPr>
          <w:rFonts w:ascii="Times New Roman" w:cs="Times New Roman" w:eastAsia="Times New Roman" w:hAnsi="Times New Roman"/>
          <w:color w:val="000000"/>
          <w:sz w:val="20"/>
          <w:szCs w:val="20"/>
        </w:rPr>
        <w:t xml:space="preserve">Quadro 8 - Qualidade dos dados extraídos</w:t>
      </w:r>
    </w:p>
    <w:tbl>
      <w:tblPr>
        <w:tblW w:type="dxa" w:w="8672"/>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3072"/>
      </w:tblGrid>
      <w:tr>
        <w:trPr>
          <w:cantSplit/>
          <w:tblHeader/>
        </w:trPr>
        <w:tc>
          <w:tcPr>
            <w:tcW w:type="dxa" w:w="3600"/>
            <w:shd w:fill="D9D9D9" w:color="auto" w:val="clear"/>
            <w:tcMar>
              <w:top w:type="dxa" w:w="70"/>
              <w:left w:type="dxa" w:w="100"/>
              <w:bottom w:type="dxa" w:w="70"/>
              <w:right w:type="dxa" w:w="100"/>
            </w:tcMar>
          </w:tcPr>
          <w:p>
            <w:pPr>
              <w:spacing w:after="0" w:line="240"/>
            </w:pPr>
            <w:r>
              <w:rPr>
                <w:rFonts w:ascii="Times New Roman" w:cs="Times New Roman" w:eastAsia="Times New Roman" w:hAnsi="Times New Roman"/>
                <w:b/>
                <w:bCs/>
                <w:i w:val="false"/>
                <w:iCs w:val="false"/>
                <w:color w:val="000000"/>
                <w:sz w:val="20"/>
                <w:szCs w:val="20"/>
              </w:rPr>
              <w:t xml:space="preserve">Verificação</w:t>
            </w:r>
          </w:p>
        </w:tc>
        <w:tc>
          <w:tcPr>
            <w:tcW w:type="dxa" w:w="2000"/>
            <w:shd w:fill="D9D9D9" w:color="auto" w:val="clear"/>
            <w:tcMar>
              <w:top w:type="dxa" w:w="70"/>
              <w:left w:type="dxa" w:w="100"/>
              <w:bottom w:type="dxa" w:w="70"/>
              <w:right w:type="dxa" w:w="100"/>
            </w:tcMar>
          </w:tcPr>
          <w:p>
            <w:pPr>
              <w:spacing w:after="0" w:line="240"/>
            </w:pPr>
            <w:r>
              <w:rPr>
                <w:rFonts w:ascii="Times New Roman" w:cs="Times New Roman" w:eastAsia="Times New Roman" w:hAnsi="Times New Roman"/>
                <w:b/>
                <w:bCs/>
                <w:i w:val="false"/>
                <w:iCs w:val="false"/>
                <w:color w:val="000000"/>
                <w:sz w:val="20"/>
                <w:szCs w:val="20"/>
              </w:rPr>
              <w:t xml:space="preserve">Resultado</w:t>
            </w:r>
          </w:p>
        </w:tc>
        <w:tc>
          <w:tcPr>
            <w:tcW w:type="dxa" w:w="3072"/>
            <w:shd w:fill="D9D9D9" w:color="auto" w:val="clear"/>
            <w:tcMar>
              <w:top w:type="dxa" w:w="70"/>
              <w:left w:type="dxa" w:w="100"/>
              <w:bottom w:type="dxa" w:w="70"/>
              <w:right w:type="dxa" w:w="100"/>
            </w:tcMar>
          </w:tcPr>
          <w:p>
            <w:pPr>
              <w:spacing w:after="0" w:line="240"/>
            </w:pPr>
            <w:r>
              <w:rPr>
                <w:rFonts w:ascii="Times New Roman" w:cs="Times New Roman" w:eastAsia="Times New Roman" w:hAnsi="Times New Roman"/>
                <w:b/>
                <w:bCs/>
                <w:i w:val="false"/>
                <w:iCs w:val="false"/>
                <w:color w:val="000000"/>
                <w:sz w:val="20"/>
                <w:szCs w:val="20"/>
              </w:rPr>
              <w:t xml:space="preserve">Ação, se houver problema</w:t>
            </w:r>
          </w:p>
        </w:tc>
      </w:tr>
      <w:tr>
        <w:trPr>
          <w:cantSplit/>
          <w:tblHeader w:val="false"/>
        </w:trPr>
        <w:tc>
          <w:tcPr>
            <w:tcW w:type="dxa" w:w="3600"/>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Colunas com valor ausente (NaN)</w:t>
            </w:r>
          </w:p>
        </w:tc>
        <w:tc>
          <w:tcPr>
            <w:tcW w:type="dxa" w:w="2000"/>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0</w:t>
            </w:r>
          </w:p>
        </w:tc>
        <w:tc>
          <w:tcPr>
            <w:tcW w:type="dxa" w:w="3072"/>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nenhuma ação necessária</w:t>
            </w:r>
          </w:p>
        </w:tc>
      </w:tr>
      <w:tr>
        <w:trPr>
          <w:cantSplit/>
          <w:tblHeader w:val="false"/>
        </w:trPr>
        <w:tc>
          <w:tcPr>
            <w:tcW w:type="dxa" w:w="3600"/>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Colunas com valor infinito</w:t>
            </w:r>
          </w:p>
        </w:tc>
        <w:tc>
          <w:tcPr>
            <w:tcW w:type="dxa" w:w="2000"/>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0</w:t>
            </w:r>
          </w:p>
        </w:tc>
        <w:tc>
          <w:tcPr>
            <w:tcW w:type="dxa" w:w="3072"/>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nenhuma ação necessária</w:t>
            </w:r>
          </w:p>
        </w:tc>
      </w:tr>
      <w:tr>
        <w:trPr>
          <w:cantSplit/>
          <w:tblHeader w:val="false"/>
        </w:trPr>
        <w:tc>
          <w:tcPr>
            <w:tcW w:type="dxa" w:w="3600"/>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Colunas constantes</w:t>
            </w:r>
          </w:p>
        </w:tc>
        <w:tc>
          <w:tcPr>
            <w:tcW w:type="dxa" w:w="2000"/>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0</w:t>
            </w:r>
          </w:p>
        </w:tc>
        <w:tc>
          <w:tcPr>
            <w:tcW w:type="dxa" w:w="3072"/>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nenhuma ação necessária</w:t>
            </w:r>
          </w:p>
        </w:tc>
      </w:tr>
      <w:tr>
        <w:trPr>
          <w:cantSplit/>
          <w:tblHeader w:val="false"/>
        </w:trPr>
        <w:tc>
          <w:tcPr>
            <w:tcW w:type="dxa" w:w="3600"/>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Sphericity fora do intervalo [0,1]</w:t>
            </w:r>
          </w:p>
        </w:tc>
        <w:tc>
          <w:tcPr>
            <w:tcW w:type="dxa" w:w="2000"/>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0 (mín 0,534 | máx 0,889)</w:t>
            </w:r>
          </w:p>
        </w:tc>
        <w:tc>
          <w:tcPr>
            <w:tcW w:type="dxa" w:w="3072"/>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geometria consistente</w:t>
            </w:r>
          </w:p>
        </w:tc>
      </w:tr>
    </w:tbl>
    <w:p>
      <w:pPr>
        <w:spacing w:after="240" w:before="80" w:line="240"/>
      </w:pPr>
      <w:r>
        <w:rPr>
          <w:rFonts w:ascii="Times New Roman" w:cs="Times New Roman" w:eastAsia="Times New Roman" w:hAnsi="Times New Roman"/>
          <w:color w:val="000000"/>
          <w:sz w:val="20"/>
          <w:szCs w:val="20"/>
        </w:rPr>
        <w:t xml:space="preserve">Fonte: saída da Célula 12.3 e 12.5 do notebook.</w:t>
      </w:r>
    </w:p>
    <w:p>
      <w:pPr>
        <w:pStyle w:val="Heading2"/>
        <w:spacing w:after="200" w:before="280" w:line="360"/>
      </w:pPr>
      <w:r>
        <w:rPr>
          <w:rFonts w:ascii="Times New Roman" w:cs="Times New Roman" w:eastAsia="Times New Roman" w:hAnsi="Times New Roman"/>
          <w:b/>
          <w:bCs/>
          <w:color w:val="000000"/>
          <w:sz w:val="24"/>
          <w:szCs w:val="24"/>
        </w:rPr>
        <w:t xml:space="preserve">5.2.4 Distribuição do rótulo</w:t>
      </w:r>
    </w:p>
    <w:p>
      <w:pPr>
        <w:keepNext/>
        <w:spacing w:after="80" w:before="240" w:line="240"/>
      </w:pPr>
      <w:r>
        <w:rPr>
          <w:rFonts w:ascii="Times New Roman" w:cs="Times New Roman" w:eastAsia="Times New Roman" w:hAnsi="Times New Roman"/>
          <w:color w:val="000000"/>
          <w:sz w:val="20"/>
          <w:szCs w:val="20"/>
        </w:rPr>
        <w:t xml:space="preserve">Quadro 9 - Distribuição da malignidade e do alvo binário</w:t>
      </w:r>
    </w:p>
    <w:tbl>
      <w:tblPr>
        <w:tblW w:type="dxa" w:w="8672"/>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3072"/>
      </w:tblGrid>
      <w:tr>
        <w:trPr>
          <w:cantSplit/>
          <w:tblHeader/>
        </w:trPr>
        <w:tc>
          <w:tcPr>
            <w:tcW w:type="dxa" w:w="3600"/>
            <w:shd w:fill="D9D9D9" w:color="auto" w:val="clear"/>
            <w:tcMar>
              <w:top w:type="dxa" w:w="70"/>
              <w:left w:type="dxa" w:w="100"/>
              <w:bottom w:type="dxa" w:w="70"/>
              <w:right w:type="dxa" w:w="100"/>
            </w:tcMar>
          </w:tcPr>
          <w:p>
            <w:pPr>
              <w:spacing w:after="0" w:line="240"/>
            </w:pPr>
            <w:r>
              <w:rPr>
                <w:rFonts w:ascii="Times New Roman" w:cs="Times New Roman" w:eastAsia="Times New Roman" w:hAnsi="Times New Roman"/>
                <w:b/>
                <w:bCs/>
                <w:i w:val="false"/>
                <w:iCs w:val="false"/>
                <w:color w:val="000000"/>
                <w:sz w:val="20"/>
                <w:szCs w:val="20"/>
              </w:rPr>
              <w:t xml:space="preserve">Categoria</w:t>
            </w:r>
          </w:p>
        </w:tc>
        <w:tc>
          <w:tcPr>
            <w:tcW w:type="dxa" w:w="2000"/>
            <w:shd w:fill="D9D9D9" w:color="auto" w:val="clear"/>
            <w:tcMar>
              <w:top w:type="dxa" w:w="70"/>
              <w:left w:type="dxa" w:w="100"/>
              <w:bottom w:type="dxa" w:w="70"/>
              <w:right w:type="dxa" w:w="100"/>
            </w:tcMar>
          </w:tcPr>
          <w:p>
            <w:pPr>
              <w:spacing w:after="0" w:line="240"/>
            </w:pPr>
            <w:r>
              <w:rPr>
                <w:rFonts w:ascii="Times New Roman" w:cs="Times New Roman" w:eastAsia="Times New Roman" w:hAnsi="Times New Roman"/>
                <w:b/>
                <w:bCs/>
                <w:i w:val="false"/>
                <w:iCs w:val="false"/>
                <w:color w:val="000000"/>
                <w:sz w:val="20"/>
                <w:szCs w:val="20"/>
              </w:rPr>
              <w:t xml:space="preserve">Contagem</w:t>
            </w:r>
          </w:p>
        </w:tc>
        <w:tc>
          <w:tcPr>
            <w:tcW w:type="dxa" w:w="3072"/>
            <w:shd w:fill="D9D9D9" w:color="auto" w:val="clear"/>
            <w:tcMar>
              <w:top w:type="dxa" w:w="70"/>
              <w:left w:type="dxa" w:w="100"/>
              <w:bottom w:type="dxa" w:w="70"/>
              <w:right w:type="dxa" w:w="100"/>
            </w:tcMar>
          </w:tcPr>
          <w:p>
            <w:pPr>
              <w:spacing w:after="0" w:line="240"/>
            </w:pPr>
            <w:r>
              <w:rPr>
                <w:rFonts w:ascii="Times New Roman" w:cs="Times New Roman" w:eastAsia="Times New Roman" w:hAnsi="Times New Roman"/>
                <w:b/>
                <w:bCs/>
                <w:i w:val="false"/>
                <w:iCs w:val="false"/>
                <w:color w:val="000000"/>
                <w:sz w:val="20"/>
                <w:szCs w:val="20"/>
              </w:rPr>
              <w:t xml:space="preserve">Comparação com a Rodada 1</w:t>
            </w:r>
          </w:p>
        </w:tc>
      </w:tr>
      <w:tr>
        <w:trPr>
          <w:cantSplit/>
          <w:tblHeader w:val="false"/>
        </w:trPr>
        <w:tc>
          <w:tcPr>
            <w:tcW w:type="dxa" w:w="3600"/>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Valor central = 3 (indeterminado)</w:t>
            </w:r>
          </w:p>
        </w:tc>
        <w:tc>
          <w:tcPr>
            <w:tcW w:type="dxa" w:w="2000"/>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17 (38,6%)</w:t>
            </w:r>
          </w:p>
        </w:tc>
        <w:tc>
          <w:tcPr>
            <w:tcW w:type="dxa" w:w="3072"/>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idêntico à Rodada 1</w:t>
            </w:r>
          </w:p>
        </w:tc>
      </w:tr>
      <w:tr>
        <w:trPr>
          <w:cantSplit/>
          <w:tblHeader w:val="false"/>
        </w:trPr>
        <w:tc>
          <w:tcPr>
            <w:tcW w:type="dxa" w:w="3600"/>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Alvo = 0 (benigno)</w:t>
            </w:r>
          </w:p>
        </w:tc>
        <w:tc>
          <w:tcPr>
            <w:tcW w:type="dxa" w:w="2000"/>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8</w:t>
            </w:r>
          </w:p>
        </w:tc>
        <w:tc>
          <w:tcPr>
            <w:tcW w:type="dxa" w:w="3072"/>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idêntico à Rodada 1</w:t>
            </w:r>
          </w:p>
        </w:tc>
      </w:tr>
      <w:tr>
        <w:trPr>
          <w:cantSplit/>
          <w:tblHeader w:val="false"/>
        </w:trPr>
        <w:tc>
          <w:tcPr>
            <w:tcW w:type="dxa" w:w="3600"/>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Alvo = 1 (maligno)</w:t>
            </w:r>
          </w:p>
        </w:tc>
        <w:tc>
          <w:tcPr>
            <w:tcW w:type="dxa" w:w="2000"/>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19</w:t>
            </w:r>
          </w:p>
        </w:tc>
        <w:tc>
          <w:tcPr>
            <w:tcW w:type="dxa" w:w="3072"/>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idêntico à Rodada 1</w:t>
            </w:r>
          </w:p>
        </w:tc>
      </w:tr>
      <w:tr>
        <w:trPr>
          <w:cantSplit/>
          <w:tblHeader w:val="false"/>
        </w:trPr>
        <w:tc>
          <w:tcPr>
            <w:tcW w:type="dxa" w:w="3600"/>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Anotadores por nódulo (3 / 4)</w:t>
            </w:r>
          </w:p>
        </w:tc>
        <w:tc>
          <w:tcPr>
            <w:tcW w:type="dxa" w:w="2000"/>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9 / 35</w:t>
            </w:r>
          </w:p>
        </w:tc>
        <w:tc>
          <w:tcPr>
            <w:tcW w:type="dxa" w:w="3072"/>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não coletado na Rodada 1</w:t>
            </w:r>
          </w:p>
        </w:tc>
      </w:tr>
    </w:tbl>
    <w:p>
      <w:pPr>
        <w:spacing w:after="240" w:before="80" w:line="240"/>
      </w:pPr>
      <w:r>
        <w:rPr>
          <w:rFonts w:ascii="Times New Roman" w:cs="Times New Roman" w:eastAsia="Times New Roman" w:hAnsi="Times New Roman"/>
          <w:color w:val="000000"/>
          <w:sz w:val="20"/>
          <w:szCs w:val="20"/>
        </w:rPr>
        <w:t xml:space="preserve">Fonte: saída da Célula 12.4 do notebook. A distribuição do rótulo é idêntica à Rodada 1, como esperado: os dados de entrada e a regra de rótulo não mudaram entre as versões — apenas o código de extração foi corrigido.</w:t>
      </w:r>
    </w:p>
    <w:p>
      <w:pPr>
        <w:pStyle w:val="Heading2"/>
        <w:spacing w:after="200" w:before="280" w:line="360"/>
      </w:pPr>
      <w:r>
        <w:rPr>
          <w:rFonts w:ascii="Times New Roman" w:cs="Times New Roman" w:eastAsia="Times New Roman" w:hAnsi="Times New Roman"/>
          <w:b/>
          <w:bCs/>
          <w:color w:val="000000"/>
          <w:sz w:val="24"/>
          <w:szCs w:val="24"/>
        </w:rPr>
        <w:t xml:space="preserve">5.3 Teste de determinismo (Seção 13 do notebook) — confirmação final</w:t>
      </w:r>
    </w:p>
    <w:p>
      <w:pPr>
        <w:spacing w:after="0" w:line="360"/>
        <w:ind w:firstLine="709"/>
        <w:jc w:val="both"/>
      </w:pPr>
      <w:r>
        <w:rPr>
          <w:rFonts w:ascii="Times New Roman" w:cs="Times New Roman" w:eastAsia="Times New Roman" w:hAnsi="Times New Roman"/>
          <w:color w:val="000000"/>
          <w:sz w:val="24"/>
          <w:szCs w:val="24"/>
        </w:rPr>
        <w:t xml:space="preserve">Este teste passou por três execuções ao longo da Rodada 2, cada uma revelando e resolvendo um problema distinto, até a confirmação final apresentada aqui. A primeira execução, antes de qualquer correção adicional além do extractor isolado, revelou o segundo incidente descrito na Seção 4.4: 11 nódulos contra 12 entre duas passagens da mesma amostra, com avisos de overflow numérico. A segunda execução, já com a correção de margem de contexto aplicada, teve a comparação de contagem e de identificadores bem-sucedida, mas a comparação numérica foi interrompida por um erro de tipo no próprio script de teste (subtração aritmética aplicada a uma coluna booleana). Corrigido esse erro de tipo, a terceira execução completou as três verificações com sucesso total.</w:t>
      </w:r>
    </w:p>
    <w:p>
      <w:pPr>
        <w:keepNext/>
        <w:spacing w:after="80" w:before="240" w:line="240"/>
      </w:pPr>
      <w:r>
        <w:rPr>
          <w:rFonts w:ascii="Times New Roman" w:cs="Times New Roman" w:eastAsia="Times New Roman" w:hAnsi="Times New Roman"/>
          <w:color w:val="000000"/>
          <w:sz w:val="20"/>
          <w:szCs w:val="20"/>
        </w:rPr>
        <w:t xml:space="preserve">Quadro 10 - Resultado final do teste de determinismo, amostra de 10 pacientes</w:t>
      </w:r>
    </w:p>
    <w:tbl>
      <w:tblPr>
        <w:tblW w:type="dxa" w:w="8672"/>
        <w:tblBorders>
          <w:top w:val="single" w:color="auto" w:sz="4"/>
          <w:left w:val="single" w:color="auto" w:sz="4"/>
          <w:bottom w:val="single" w:color="auto" w:sz="4"/>
          <w:right w:val="single" w:color="auto" w:sz="4"/>
          <w:insideH w:val="single" w:color="auto" w:sz="4"/>
          <w:insideV w:val="single" w:color="auto" w:sz="4"/>
        </w:tblBorders>
      </w:tblPr>
      <w:tblGrid>
        <w:gridCol w:w="3600"/>
        <w:gridCol w:w="2536"/>
        <w:gridCol w:w="2536"/>
      </w:tblGrid>
      <w:tr>
        <w:trPr>
          <w:cantSplit/>
          <w:tblHeader/>
        </w:trPr>
        <w:tc>
          <w:tcPr>
            <w:tcW w:type="dxa" w:w="3600"/>
            <w:shd w:fill="D9D9D9" w:color="auto" w:val="clear"/>
            <w:tcMar>
              <w:top w:type="dxa" w:w="70"/>
              <w:left w:type="dxa" w:w="100"/>
              <w:bottom w:type="dxa" w:w="70"/>
              <w:right w:type="dxa" w:w="100"/>
            </w:tcMar>
          </w:tcPr>
          <w:p>
            <w:pPr>
              <w:spacing w:after="0" w:line="240"/>
            </w:pPr>
            <w:r>
              <w:rPr>
                <w:rFonts w:ascii="Times New Roman" w:cs="Times New Roman" w:eastAsia="Times New Roman" w:hAnsi="Times New Roman"/>
                <w:b/>
                <w:bCs/>
                <w:i w:val="false"/>
                <w:iCs w:val="false"/>
                <w:color w:val="000000"/>
                <w:sz w:val="20"/>
                <w:szCs w:val="20"/>
              </w:rPr>
              <w:t xml:space="preserve">Verificação</w:t>
            </w:r>
          </w:p>
        </w:tc>
        <w:tc>
          <w:tcPr>
            <w:tcW w:type="dxa" w:w="2536"/>
            <w:shd w:fill="D9D9D9" w:color="auto" w:val="clear"/>
            <w:tcMar>
              <w:top w:type="dxa" w:w="70"/>
              <w:left w:type="dxa" w:w="100"/>
              <w:bottom w:type="dxa" w:w="70"/>
              <w:right w:type="dxa" w:w="100"/>
            </w:tcMar>
          </w:tcPr>
          <w:p>
            <w:pPr>
              <w:spacing w:after="0" w:line="240"/>
            </w:pPr>
            <w:r>
              <w:rPr>
                <w:rFonts w:ascii="Times New Roman" w:cs="Times New Roman" w:eastAsia="Times New Roman" w:hAnsi="Times New Roman"/>
                <w:b/>
                <w:bCs/>
                <w:i w:val="false"/>
                <w:iCs w:val="false"/>
                <w:color w:val="000000"/>
                <w:sz w:val="20"/>
                <w:szCs w:val="20"/>
              </w:rPr>
              <w:t xml:space="preserve">Execução A</w:t>
            </w:r>
          </w:p>
        </w:tc>
        <w:tc>
          <w:tcPr>
            <w:tcW w:type="dxa" w:w="2536"/>
            <w:shd w:fill="D9D9D9" w:color="auto" w:val="clear"/>
            <w:tcMar>
              <w:top w:type="dxa" w:w="70"/>
              <w:left w:type="dxa" w:w="100"/>
              <w:bottom w:type="dxa" w:w="70"/>
              <w:right w:type="dxa" w:w="100"/>
            </w:tcMar>
          </w:tcPr>
          <w:p>
            <w:pPr>
              <w:spacing w:after="0" w:line="240"/>
            </w:pPr>
            <w:r>
              <w:rPr>
                <w:rFonts w:ascii="Times New Roman" w:cs="Times New Roman" w:eastAsia="Times New Roman" w:hAnsi="Times New Roman"/>
                <w:b/>
                <w:bCs/>
                <w:i w:val="false"/>
                <w:iCs w:val="false"/>
                <w:color w:val="000000"/>
                <w:sz w:val="20"/>
                <w:szCs w:val="20"/>
              </w:rPr>
              <w:t xml:space="preserve">Execução B</w:t>
            </w:r>
          </w:p>
        </w:tc>
      </w:tr>
      <w:tr>
        <w:trPr>
          <w:cantSplit/>
          <w:tblHeader w:val="false"/>
        </w:trPr>
        <w:tc>
          <w:tcPr>
            <w:tcW w:type="dxa" w:w="3600"/>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Nódulos extraídos (mesma amostra)</w:t>
            </w:r>
          </w:p>
        </w:tc>
        <w:tc>
          <w:tcPr>
            <w:tcW w:type="dxa" w:w="2536"/>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12</w:t>
            </w:r>
          </w:p>
        </w:tc>
        <w:tc>
          <w:tcPr>
            <w:tcW w:type="dxa" w:w="2536"/>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12</w:t>
            </w:r>
          </w:p>
        </w:tc>
      </w:tr>
      <w:tr>
        <w:trPr>
          <w:cantSplit/>
          <w:tblHeader w:val="false"/>
        </w:trPr>
        <w:tc>
          <w:tcPr>
            <w:tcW w:type="dxa" w:w="3600"/>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Conjuntos de IDs idênticos?</w:t>
            </w:r>
          </w:p>
        </w:tc>
        <w:tc>
          <w:tcPr>
            <w:tcW w:type="dxa" w:w="2536"/>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SIM (diferença: conjunto vazio nos dois sentidos)</w:t>
            </w:r>
          </w:p>
        </w:tc>
        <w:tc>
          <w:tcPr>
            <w:tcW w:type="dxa" w:w="2536"/>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SIM</w:t>
            </w:r>
          </w:p>
        </w:tc>
      </w:tr>
      <w:tr>
        <w:trPr>
          <w:cantSplit/>
          <w:tblHeader w:val="false"/>
        </w:trPr>
        <w:tc>
          <w:tcPr>
            <w:tcW w:type="dxa" w:w="3600"/>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Maior diferença numérica absoluta entre as 88 features, nos 12 nódulos</w:t>
            </w:r>
          </w:p>
        </w:tc>
        <w:tc>
          <w:tcPr>
            <w:tcW w:type="dxa" w:w="2536"/>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0,00e+00</w:t>
            </w:r>
          </w:p>
        </w:tc>
        <w:tc>
          <w:tcPr>
            <w:tcW w:type="dxa" w:w="2536"/>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
            </w:r>
          </w:p>
        </w:tc>
      </w:tr>
      <w:tr>
        <w:trPr>
          <w:cantSplit/>
          <w:tblHeader w:val="false"/>
        </w:trPr>
        <w:tc>
          <w:tcPr>
            <w:tcW w:type="dxa" w:w="3600"/>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Avisos de overflow ou valor inválido durante a execução</w:t>
            </w:r>
          </w:p>
        </w:tc>
        <w:tc>
          <w:tcPr>
            <w:tcW w:type="dxa" w:w="2536"/>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nenhum</w:t>
            </w:r>
          </w:p>
        </w:tc>
        <w:tc>
          <w:tcPr>
            <w:tcW w:type="dxa" w:w="2536"/>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
            </w:r>
          </w:p>
        </w:tc>
      </w:tr>
      <w:tr>
        <w:trPr>
          <w:cantSplit/>
          <w:tblHeader w:val="false"/>
        </w:trPr>
        <w:tc>
          <w:tcPr>
            <w:tcW w:type="dxa" w:w="3600"/>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Conclusão</w:t>
            </w:r>
          </w:p>
        </w:tc>
        <w:tc>
          <w:tcPr>
            <w:tcW w:type="dxa" w:w="2536"/>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Pipeline determinístico: contagem, identificadores e valores numéricos idênticos entre execuções independentes</w:t>
            </w:r>
          </w:p>
        </w:tc>
        <w:tc>
          <w:tcPr>
            <w:tcW w:type="dxa" w:w="2536"/>
            <w:tcMar>
              <w:top w:type="dxa" w:w="70"/>
              <w:left w:type="dxa" w:w="100"/>
              <w:bottom w:type="dxa" w:w="70"/>
              <w:right w:type="dxa" w:w="100"/>
            </w:tcMar>
          </w:tcPr>
          <w:p>
            <w:pPr>
              <w:spacing w:after="0" w:line="240"/>
            </w:pPr>
            <w:r>
              <w:rPr>
                <w:rFonts w:ascii="Times New Roman" w:cs="Times New Roman" w:eastAsia="Times New Roman" w:hAnsi="Times New Roman"/>
                <w:b w:val="false"/>
                <w:bCs w:val="false"/>
                <w:i w:val="false"/>
                <w:iCs w:val="false"/>
                <w:color w:val="000000"/>
                <w:sz w:val="20"/>
                <w:szCs w:val="20"/>
              </w:rPr>
              <w:t xml:space="preserve"/>
            </w:r>
          </w:p>
        </w:tc>
      </w:tr>
    </w:tbl>
    <w:p>
      <w:pPr>
        <w:spacing w:after="240" w:before="80" w:line="240"/>
      </w:pPr>
      <w:r>
        <w:rPr>
          <w:rFonts w:ascii="Times New Roman" w:cs="Times New Roman" w:eastAsia="Times New Roman" w:hAnsi="Times New Roman"/>
          <w:color w:val="000000"/>
          <w:sz w:val="20"/>
          <w:szCs w:val="20"/>
        </w:rPr>
        <w:t xml:space="preserve">Fonte: saída das Células 13, 13.2 e 13.3 do notebook piloto_v2, após a correção da Seção 13.1.</w:t>
      </w:r>
    </w:p>
    <w:p>
      <w:pPr>
        <w:spacing w:after="0" w:line="360"/>
        <w:ind w:firstLine="709"/>
        <w:jc w:val="both"/>
      </w:pPr>
      <w:r>
        <w:rPr>
          <w:rFonts w:ascii="Times New Roman" w:cs="Times New Roman" w:eastAsia="Times New Roman" w:hAnsi="Times New Roman"/>
          <w:color w:val="000000"/>
          <w:sz w:val="24"/>
          <w:szCs w:val="24"/>
        </w:rPr>
        <w:t xml:space="preserve">A diferença numérica nula, e não apenas abaixo de um limiar de tolerância, é o resultado mais forte que este teste poderia produzir: indica que as duas execuções não apenas convergem dentro de uma margem aceitável de arredondamento, mas produzem exatamente os mesmos valores de ponto flutuante para cada uma das 88 features, em cada um dos 12 nódulos testados. Combinado com a ausência de qualquer aviso de overflow nesta execução, o resultado sustenta que as duas correções aplicadas (Seção 4.3) eliminaram tanto a causa raiz do primeiro incidente quanto a do segundo.</w:t>
      </w:r>
    </w:p>
    <w:p>
      <w:pPr>
        <w:pStyle w:val="Heading2"/>
        <w:spacing w:after="200" w:before="280" w:line="360"/>
      </w:pPr>
      <w:r>
        <w:rPr>
          <w:rFonts w:ascii="Times New Roman" w:cs="Times New Roman" w:eastAsia="Times New Roman" w:hAnsi="Times New Roman"/>
          <w:b/>
          <w:bCs/>
          <w:color w:val="000000"/>
          <w:sz w:val="24"/>
          <w:szCs w:val="24"/>
        </w:rPr>
        <w:t xml:space="preserve">5.4 Leitura desta rodada</w:t>
      </w:r>
    </w:p>
    <w:p>
      <w:pPr>
        <w:spacing w:after="0" w:line="360"/>
        <w:ind w:firstLine="0"/>
        <w:jc w:val="both"/>
      </w:pPr>
      <w:r>
        <w:rPr>
          <w:rFonts w:ascii="Times New Roman" w:cs="Times New Roman" w:eastAsia="Times New Roman" w:hAnsi="Times New Roman"/>
          <w:color w:val="000000"/>
          <w:sz w:val="24"/>
          <w:szCs w:val="24"/>
        </w:rPr>
        <w:t xml:space="preserve">A Rodada 2 fechou com dois incidentes diagnosticados até a causa raiz e corrigidos, e com confirmação experimental de que ambas as correções funcionaram. A execução completa sobre os 25 pacientes reproduziu, número por número, a extração da Rodada 1: mesmos 44 nódulos, mesma distribuição de malignidade, zero NaN, zero Inf, zero colunas constantes, geometria consistente. O teste de determinismo, executado até a conclusão nas três etapas de verificação, confirmou contagem idêntica, identificadores idênticos e diferença numérica nula entre features nas duas execuções independentes da amostra de 10 pacientes.</w:t>
      </w:r>
    </w:p>
    <w:p>
      <w:pPr>
        <w:spacing w:after="0" w:line="360"/>
        <w:ind w:firstLine="709"/>
        <w:jc w:val="both"/>
      </w:pPr>
      <w:r>
        <w:rPr>
          <w:rFonts w:ascii="Times New Roman" w:cs="Times New Roman" w:eastAsia="Times New Roman" w:hAnsi="Times New Roman"/>
          <w:color w:val="000000"/>
          <w:sz w:val="24"/>
          <w:szCs w:val="24"/>
        </w:rPr>
        <w:t xml:space="preserve">O pipeline está, portanto, confirmado como determinístico dentro do escopo testado: mesma entrada produz, de forma reprodutível, a mesma tabela de features. Essa confirmação sustenta a decisão de prosseguir para a extração completa nos 1.010 pacientes, ainda sujeita às quatro decisões pendentes listadas na Seção 3.3, que não são bugs de código e sim escolhas metodológicas do grupo.</w:t>
      </w:r>
    </w:p>
    <w:p>
      <w:pPr>
        <w:spacing w:after="0" w:line="360"/>
        <w:ind w:firstLine="709"/>
        <w:jc w:val="both"/>
      </w:pPr>
      <w:r>
        <w:rPr>
          <w:rFonts w:ascii="Times New Roman" w:cs="Times New Roman" w:eastAsia="Times New Roman" w:hAnsi="Times New Roman"/>
          <w:color w:val="000000"/>
          <w:sz w:val="24"/>
          <w:szCs w:val="24"/>
        </w:rPr>
        <w:t xml:space="preserve">Vale registrar, para a defesa do trabalho, o valor do processo de diagnóstico em si: o primeiro incidente (contaminação de estado no extractor) mascarava o segundo (overflow por falta de margem de contexto na reamostragem). Corrigir apenas o primeiro teria produzido uma falsa sensação de estabilidade, uma vez que a maioria das execuções nesse estado intermediário ainda passava sem erro aparente. Só o teste de determinismo executado de ponta a ponta, e não a mera ausência de exceções em uma execução isolada, revelou que a correção estava incompleta.</w:t>
      </w:r>
    </w:p>
    <w:p>
      <w:pPr>
        <w:pStyle w:val="Heading1"/>
        <w:spacing w:after="240" w:before="360" w:line="360"/>
      </w:pPr>
      <w:r>
        <w:rPr>
          <w:rFonts w:ascii="Times New Roman" w:cs="Times New Roman" w:eastAsia="Times New Roman" w:hAnsi="Times New Roman"/>
          <w:b/>
          <w:bCs/>
          <w:color w:val="000000"/>
          <w:sz w:val="24"/>
          <w:szCs w:val="24"/>
        </w:rPr>
        <w:t xml:space="preserve">6 PRÓXIMOS PASSOS</w:t>
      </w:r>
    </w:p>
    <w:p>
      <w:pPr>
        <w:pStyle w:val="ListParagraph"/>
        <w:numPr>
          <w:ilvl w:val="0"/>
          <w:numId w:val="1"/>
        </w:numPr>
        <w:spacing w:after="0" w:line="360"/>
        <w:jc w:val="both"/>
      </w:pPr>
      <w:r>
        <w:rPr>
          <w:rFonts w:ascii="Times New Roman" w:cs="Times New Roman" w:eastAsia="Times New Roman" w:hAnsi="Times New Roman"/>
          <w:color w:val="000000"/>
          <w:sz w:val="24"/>
          <w:szCs w:val="24"/>
        </w:rPr>
        <w:t xml:space="preserve">[ ] Confirmar, pelo Quadro 10, que a Rodada 2 é determinística antes de escalar para o conjunto completo.</w:t>
      </w:r>
    </w:p>
    <w:p>
      <w:pPr>
        <w:pStyle w:val="ListParagraph"/>
        <w:numPr>
          <w:ilvl w:val="0"/>
          <w:numId w:val="1"/>
        </w:numPr>
        <w:spacing w:after="0" w:line="360"/>
        <w:jc w:val="both"/>
      </w:pPr>
      <w:r>
        <w:rPr>
          <w:rFonts w:ascii="Times New Roman" w:cs="Times New Roman" w:eastAsia="Times New Roman" w:hAnsi="Times New Roman"/>
          <w:color w:val="000000"/>
          <w:sz w:val="24"/>
          <w:szCs w:val="24"/>
        </w:rPr>
        <w:t xml:space="preserve">[ ] Resolver as quatro decisões pendentes listadas na Seção 3.3, usando o percentual de indeterminados (38,6% na Rodada 1) como dado de peso na discussão.</w:t>
      </w:r>
    </w:p>
    <w:p>
      <w:pPr>
        <w:pStyle w:val="ListParagraph"/>
        <w:numPr>
          <w:ilvl w:val="0"/>
          <w:numId w:val="1"/>
        </w:numPr>
        <w:spacing w:after="0" w:line="360"/>
        <w:jc w:val="both"/>
      </w:pPr>
      <w:r>
        <w:rPr>
          <w:rFonts w:ascii="Times New Roman" w:cs="Times New Roman" w:eastAsia="Times New Roman" w:hAnsi="Times New Roman"/>
          <w:color w:val="000000"/>
          <w:sz w:val="24"/>
          <w:szCs w:val="24"/>
        </w:rPr>
        <w:t xml:space="preserve">[ ] Confirmar disponibilidade de Lung-RADS no LIDC-IDRI, pendência registrada desde a Sprint 1.</w:t>
      </w:r>
    </w:p>
    <w:p>
      <w:pPr>
        <w:pStyle w:val="ListParagraph"/>
        <w:numPr>
          <w:ilvl w:val="0"/>
          <w:numId w:val="1"/>
        </w:numPr>
        <w:spacing w:after="0" w:line="360"/>
        <w:jc w:val="both"/>
      </w:pPr>
      <w:r>
        <w:rPr>
          <w:rFonts w:ascii="Times New Roman" w:cs="Times New Roman" w:eastAsia="Times New Roman" w:hAnsi="Times New Roman"/>
          <w:color w:val="000000"/>
          <w:sz w:val="24"/>
          <w:szCs w:val="24"/>
        </w:rPr>
        <w:t xml:space="preserve">[ ] Abrir Pull Request com o notebook piloto_v2, config_piloto_v2.json, validacao_piloto_v2_consenso50.json e este relatório.</w:t>
      </w:r>
    </w:p>
    <w:p>
      <w:pPr>
        <w:pStyle w:val="ListParagraph"/>
        <w:numPr>
          <w:ilvl w:val="0"/>
          <w:numId w:val="1"/>
        </w:numPr>
        <w:spacing w:after="0" w:line="360"/>
        <w:jc w:val="both"/>
      </w:pPr>
      <w:r>
        <w:rPr>
          <w:rFonts w:ascii="Times New Roman" w:cs="Times New Roman" w:eastAsia="Times New Roman" w:hAnsi="Times New Roman"/>
          <w:color w:val="000000"/>
          <w:sz w:val="24"/>
          <w:szCs w:val="24"/>
        </w:rPr>
        <w:t xml:space="preserve">[ ] Repassar a tabela de features da Rodada 2 para quem for iniciar a análise exploratória e o baseline.</w:t>
      </w:r>
    </w:p>
    <w:p>
      <w:pPr>
        <w:pStyle w:val="ListParagraph"/>
        <w:numPr>
          <w:ilvl w:val="0"/>
          <w:numId w:val="1"/>
        </w:numPr>
        <w:spacing w:after="0" w:line="360"/>
        <w:jc w:val="both"/>
      </w:pPr>
      <w:r>
        <w:rPr>
          <w:rFonts w:ascii="Times New Roman" w:cs="Times New Roman" w:eastAsia="Times New Roman" w:hAnsi="Times New Roman"/>
          <w:color w:val="000000"/>
          <w:sz w:val="24"/>
          <w:szCs w:val="24"/>
        </w:rPr>
        <w:t xml:space="preserve">[ ] Avaliar se a extração completa deve rodar com binCount=64 (config atual) ou binWidth=25 HU (comparável a Haarburger et al., 2020) — decisão ainda em aberto, discutida na Seção 3.3.</w:t>
      </w:r>
    </w:p>
    <w:sectPr>
      <w:headerReference w:type="default" r:id="rId7"/>
      <w:pgSz w:w="11906" w:h="16838" w:orient="portrait"/>
      <w:pgMar w:top="1701"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line="240"/>
      <w:jc w:val="right"/>
    </w:pPr>
    <w:r>
      <w:rPr>
        <w:rFonts w:ascii="Times New Roman" w:cs="Times New Roman" w:eastAsia="Times New Roman" w:hAnsi="Times New Roman"/>
        <w:color w:val="000000"/>
        <w:sz w:val="20"/>
        <w:szCs w:val="20"/>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b/>
      <w:bCs/>
      <w:color w:val="000000"/>
      <w:sz w:val="24"/>
      <w:szCs w:val="24"/>
    </w:rPr>
  </w:style>
  <w:style w:type="paragraph" w:styleId="Heading2">
    <w:name w:val="Heading 2"/>
    <w:basedOn w:val="Normal"/>
    <w:next w:val="Normal"/>
    <w:qFormat/>
    <w:rPr>
      <w:rFonts w:ascii="Times New Roman" w:cs="Times New Roman" w:eastAsia="Times New Roman" w:hAnsi="Times New Roman"/>
      <w:b/>
      <w:bCs/>
      <w:color w:val="000000"/>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2026-08-22T19:27:02.685Z</dcterms:created>
  <dcterms:modified xsi:type="dcterms:W3CDTF">2026-08-22T19:27:02.698Z</dcterms:modified>
</cp:coreProperties>
</file>

<file path=docProps/custom.xml><?xml version="1.0" encoding="utf-8"?>
<Properties xmlns="http://schemas.openxmlformats.org/officeDocument/2006/custom-properties" xmlns:vt="http://schemas.openxmlformats.org/officeDocument/2006/docPropsVTypes"/>
</file>