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51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BANDTEC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DIGITAL SCHOOL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 DE TECNOLOGIA EM ANÁLISE E DESENVOLVIMENTO DE SISTEMAS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Gabriel Vieira RA 01211046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Rafaella Kimberlly RA 01211114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Isaque Cruz RA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Matheus Lemos RA 01211096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Reyel Soares RA 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Fabrício Ajala RA 01211035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CRYPTOVERSE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5711" w:hanging="1175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SÃO PAULO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2021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  <w:tab w:val="right" w:pos="9072" w:leader="dot"/>
        </w:tabs>
        <w:spacing w:before="0" w:after="120" w:line="240"/>
        <w:ind w:right="284" w:left="397" w:hanging="39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VISÃO DO PROJETO</w:t>
        <w:tab/>
        <w:t xml:space="preserve">5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APRESENTAÇÃO DO GRUPO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CONTEXTO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Problema / justificativa do projeto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objetivo da solução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diagrama da solução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51" w:leader="none"/>
          <w:tab w:val="right" w:pos="9072" w:leader="dot"/>
        </w:tabs>
        <w:spacing w:before="0" w:after="120" w:line="240"/>
        <w:ind w:right="284" w:left="397" w:hanging="39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PLANEJAMENTO DO PROJETO</w:t>
        <w:tab/>
        <w:t xml:space="preserve">7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Definição da Equipe do projeto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PROCESSO E FERRAMENTA DE GESTÃO DE PROJETOS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Gestão dos Riscos do Projeto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PRODUCT BACKLOG e requisitos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Sprints / sprint backlog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851" w:leader="none"/>
          <w:tab w:val="right" w:pos="9072" w:leader="dot"/>
        </w:tabs>
        <w:spacing w:before="0" w:after="120" w:line="240"/>
        <w:ind w:right="284" w:left="397" w:hanging="39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4"/>
          <w:shd w:fill="auto" w:val="clear"/>
        </w:rPr>
        <w:t xml:space="preserve">desenvolvimento do projeto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Solução Técnica 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 Aquisi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ção de dados Arduino/SIMULADOR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Solução Técnica - Aplicação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Banco de Dados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Protótipo das telas, lógica e usabilidade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MÉTRICAS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851" w:leader="none"/>
          <w:tab w:val="right" w:pos="9072" w:leader="dot"/>
        </w:tabs>
        <w:spacing w:before="0" w:after="120" w:line="240"/>
        <w:ind w:right="284" w:left="397" w:hanging="39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implantação do projeto</w:t>
        <w:tab/>
        <w:t xml:space="preserve">11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Manual de Instalação da solução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11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Processo de Atendimento e Suporte / FERRAMENTA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11</w:t>
      </w:r>
    </w:p>
    <w:p>
      <w:pPr>
        <w:tabs>
          <w:tab w:val="left" w:pos="851" w:leader="none"/>
          <w:tab w:val="right" w:pos="9072" w:leader="dot"/>
        </w:tabs>
        <w:spacing w:before="0" w:after="120" w:line="240"/>
        <w:ind w:right="284" w:left="397" w:hanging="39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CONCLUSÕES</w:t>
        <w:tab/>
        <w:t xml:space="preserve">13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resultados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13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Processo de aprendizado com o projeto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13</w:t>
      </w:r>
    </w:p>
    <w:p>
      <w:pPr>
        <w:tabs>
          <w:tab w:val="left" w:pos="851" w:leader="none"/>
          <w:tab w:val="left" w:pos="601" w:leader="none"/>
          <w:tab w:val="right" w:pos="9072" w:leader="dot"/>
        </w:tabs>
        <w:spacing w:before="0" w:after="120" w:line="240"/>
        <w:ind w:right="284" w:left="6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Considerações finais sobre A evolução da solução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13</w:t>
      </w:r>
    </w:p>
    <w:p>
      <w:pPr>
        <w:tabs>
          <w:tab w:val="left" w:pos="851" w:leader="none"/>
          <w:tab w:val="right" w:pos="9072" w:leader="dot"/>
        </w:tabs>
        <w:spacing w:before="0" w:after="120" w:line="240"/>
        <w:ind w:right="284" w:left="397" w:hanging="39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ReferÊncias</w:t>
        <w:tab/>
        <w:t xml:space="preserve">14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1320" w:hanging="13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12000" w:after="0" w:line="360"/>
        <w:ind w:right="567" w:left="0" w:firstLine="0"/>
        <w:jc w:val="righ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1</w:t>
        <w:tab/>
        <w:t xml:space="preserve">VISÃO DO PROJETO</w:t>
      </w:r>
    </w:p>
    <w:p>
      <w:pPr>
        <w:keepNext w:val="true"/>
        <w:pageBreakBefore w:val="true"/>
        <w:numPr>
          <w:ilvl w:val="0"/>
          <w:numId w:val="20"/>
        </w:numPr>
        <w:tabs>
          <w:tab w:val="left" w:pos="851" w:leader="none"/>
        </w:tabs>
        <w:spacing w:before="0" w:after="480" w:line="240"/>
        <w:ind w:right="0" w:left="432" w:hanging="432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VISÃO DO PROJETO</w:t>
      </w:r>
    </w:p>
    <w:p>
      <w:pPr>
        <w:keepNext w:val="true"/>
        <w:numPr>
          <w:ilvl w:val="0"/>
          <w:numId w:val="20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APRESENTAÇÃO DO GRUPO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Apresentação : nome do grupo, integrantes, logomarca, posicionamento no mercado / acadêmico. </w:t>
      </w:r>
    </w:p>
    <w:p>
      <w:pPr>
        <w:keepNext w:val="true"/>
        <w:numPr>
          <w:ilvl w:val="0"/>
          <w:numId w:val="23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CONTEXTO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rápida valorização da bitcoin, que atualmente vale cerca de R$ 245 mil, tem atraído as atenções para o assunto criptomoedas. Seguindo as tendencias mundiais sobre mineração e a constante crescente do valor de cotação das moedas virtuais, muitos entusiastas digitais decidem investir em tecnologia para entrar no mercado da mineração.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Basicamente, essa atividade se trata de validar a rede de criptomoedas, prevenindo fraudes, além de colocar no mercado novas unidades de criptomoedas.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mineradores de criptomoedas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que podem ser pessoas ou empresas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investem o seu poder computacional (tecnologia) para resolver uma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érie de equações complexas, cujo objetivo final é o registro das transações que ocorreram na rede.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que o minerador faz é garantir que todas as transações sejam válidas. Na prática, isso é feito com a verificação da disponibilidade do saldo enviado pelo remetente e da validação do endereço do destinatário.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isso que impede a ocorrência de transações fraudulentas. Como já mencionado, a atividade demanda um certo poder computacional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recursos de tecnologia que est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ão mais detalhados abaixo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ém do gasto com energia.</w:t>
      </w:r>
    </w:p>
    <w:p>
      <w:pPr>
        <w:keepNext w:val="true"/>
        <w:numPr>
          <w:ilvl w:val="0"/>
          <w:numId w:val="25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Problema / justificativa do projeto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Nesse contexto, o alto preço das criptomoedas oferece ainda mais incentivo para mineradores rodarem mais e mais computadores, usando energia e toda a capacidade de processamento dos seus componentes.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aumentar os lucros, pessoas comumente conectam grandes números de mineradores à rede - às vezes, armazéns inteiros cheios de mineradores.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as criptomoedas fossem um carro, é como se ele tivesse dois motores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um deles est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 trabalhando na direção contrária, impedindo o veículo de avançar e aumentando o consumo de combustível.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Essa lógica de funcionamento, é a explicação para o alto consumo e degradação dos componentes das máquinas mineradoras, o que acaba demandando uma atenção especial voltada para os componentes dessas máquinas.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7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objetivo da solução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software CryptoVerse tem como finalidade o monitoramento da capacidade dos componentes (memória, GPU e CPU) das máquinas mineradoras de criptomoedas, e gerar, através de dashboard, um relatório de desempenho e emitir e enviar alertas, para que os mineradores tenham maior controle sobre a produção de seus criptoativos. 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9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diagrama da solução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Diagrama da solução para o cliente final com foco no que vai solucionar e qual o ganho para o cliente.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12000" w:after="0" w:line="360"/>
        <w:ind w:right="567" w:left="0" w:firstLine="0"/>
        <w:jc w:val="righ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2</w:t>
        <w:tab/>
        <w:t xml:space="preserve">PLANEJAMENTO DO PROJETO</w:t>
      </w:r>
    </w:p>
    <w:p>
      <w:pPr>
        <w:keepNext w:val="true"/>
        <w:pageBreakBefore w:val="true"/>
        <w:numPr>
          <w:ilvl w:val="0"/>
          <w:numId w:val="32"/>
        </w:numPr>
        <w:tabs>
          <w:tab w:val="left" w:pos="851" w:leader="none"/>
        </w:tabs>
        <w:spacing w:before="0" w:after="480" w:line="240"/>
        <w:ind w:right="0" w:left="432" w:hanging="432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PLANEJAMENTO DO PROJETO</w:t>
      </w:r>
    </w:p>
    <w:p>
      <w:pPr>
        <w:keepNext w:val="true"/>
        <w:numPr>
          <w:ilvl w:val="0"/>
          <w:numId w:val="32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Definição da Equipe do projeto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Descrever a equipe e seus papéis no projeto, mencionar os papéis de acordo com a metodologia ágil adotada. Ex. Scrum Master, Product Owner, Time de Desenvolvimento, etc. Deixar claro quem fez o quê no projeto, um integrante pode ter mais de um papel no projeto.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numPr>
          <w:ilvl w:val="0"/>
          <w:numId w:val="35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PROCESSO E FERRAMENTA DE GESTÃO DE PROJETOS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Descrever o processo de gestão e seus benefícios: Divisão das tarefas, evidências das Daily Meetings (exemplo de Ata de reunião); Prints da ferramenta de gestão de atividades utilizada.</w:t>
      </w:r>
    </w:p>
    <w:p>
      <w:pPr>
        <w:keepNext w:val="true"/>
        <w:numPr>
          <w:ilvl w:val="0"/>
          <w:numId w:val="37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Gestão dos Riscos do Projeto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Apresentar os principais riscos levantados, sua classificação e plano de resposta.</w:t>
      </w:r>
    </w:p>
    <w:p>
      <w:pPr>
        <w:keepNext w:val="true"/>
        <w:numPr>
          <w:ilvl w:val="0"/>
          <w:numId w:val="39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PRODUCT BACKLOG e requisitos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14" w:dyaOrig="6045">
          <v:rect xmlns:o="urn:schemas-microsoft-com:office:office" xmlns:v="urn:schemas-microsoft-com:vml" id="rectole0000000000" style="width:435.700000pt;height:30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2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Sprints / sprint backlog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Apresentar o(s) Sprint Backlog(s)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 que do Product Backlog foi endereçado no(s) Sprint(s)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12000" w:after="0" w:line="360"/>
        <w:ind w:right="567" w:left="0" w:firstLine="0"/>
        <w:jc w:val="righ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3</w:t>
        <w:tab/>
        <w:t xml:space="preserve">desenvolvimento do projeto</w:t>
      </w:r>
    </w:p>
    <w:p>
      <w:pPr>
        <w:keepNext w:val="true"/>
        <w:pageBreakBefore w:val="true"/>
        <w:numPr>
          <w:ilvl w:val="0"/>
          <w:numId w:val="45"/>
        </w:numPr>
        <w:tabs>
          <w:tab w:val="left" w:pos="851" w:leader="none"/>
        </w:tabs>
        <w:spacing w:before="0" w:after="480" w:line="240"/>
        <w:ind w:right="0" w:left="432" w:hanging="432"/>
        <w:jc w:val="both"/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4"/>
          <w:shd w:fill="auto" w:val="clear"/>
        </w:rPr>
        <w:t xml:space="preserve">desenvolvimento do projeto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7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Solução Técnica 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 Aquisi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ção de dados Arduino/SIMULADOR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Descrição da solução, detalhamento dos componentes utilizados, diagramas de arquitetura, etc.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1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Solução Técnica - Aplicação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Descrição da solução, detalhamento dos componentes utilizados, camadas (rede local/nuvem), diagramas de arquitetura.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5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Banco de Dados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Modelo Conceitual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912" w:dyaOrig="4176">
          <v:rect xmlns:o="urn:schemas-microsoft-com:office:office" xmlns:v="urn:schemas-microsoft-com:vml" id="rectole0000000001" style="width:345.600000pt;height:208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Modelo Lógico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912" w:dyaOrig="4996">
          <v:rect xmlns:o="urn:schemas-microsoft-com:office:office" xmlns:v="urn:schemas-microsoft-com:vml" id="rectole0000000002" style="width:345.600000pt;height:249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2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Protótipo das telas, lógica e usabilidade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Apresentar as telas construídas e sua lógica de navegação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6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MÉTRICAS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Apresentar as métricas definidas para o disparo dos alarmes. Explicar o conceito adotado, limites, cores, etc.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12000" w:after="0" w:line="360"/>
        <w:ind w:right="567" w:left="0" w:firstLine="0"/>
        <w:jc w:val="righ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4</w:t>
        <w:tab/>
        <w:t xml:space="preserve">implantação do projeto</w:t>
      </w:r>
    </w:p>
    <w:p>
      <w:pPr>
        <w:keepNext w:val="true"/>
        <w:pageBreakBefore w:val="true"/>
        <w:numPr>
          <w:ilvl w:val="0"/>
          <w:numId w:val="71"/>
        </w:numPr>
        <w:tabs>
          <w:tab w:val="left" w:pos="851" w:leader="none"/>
        </w:tabs>
        <w:spacing w:before="0" w:after="480" w:line="240"/>
        <w:ind w:right="0" w:left="432" w:hanging="432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implantação do projeto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73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Manual de Instalação da solução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Descritivo básico da instalação da solução e principais cuidados. Guia de instalação e uso.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77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Processo de Atendimento e Suporte / FERRAMENTA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Desenho e apresentação do Processo de Suporte (diagrama BPM-N);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Apresentação e detalhamento da ferramenta utilizada para Help Desk/Suporte;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Canais de atendimento (telefone,e-meil, chat), níveis de suporte, base de conhecimento na ferramenta selecionada.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12000" w:after="0" w:line="360"/>
        <w:ind w:right="567" w:left="0" w:firstLine="0"/>
        <w:jc w:val="righ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5</w:t>
        <w:tab/>
        <w:t xml:space="preserve">CONCLUSÕES</w:t>
      </w:r>
    </w:p>
    <w:p>
      <w:pPr>
        <w:keepNext w:val="true"/>
        <w:pageBreakBefore w:val="true"/>
        <w:numPr>
          <w:ilvl w:val="0"/>
          <w:numId w:val="82"/>
        </w:numPr>
        <w:tabs>
          <w:tab w:val="left" w:pos="851" w:leader="none"/>
        </w:tabs>
        <w:spacing w:before="0" w:after="480" w:line="240"/>
        <w:ind w:right="0" w:left="432" w:hanging="432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CONCLUSÕES</w:t>
      </w:r>
    </w:p>
    <w:p>
      <w:pPr>
        <w:keepNext w:val="true"/>
        <w:numPr>
          <w:ilvl w:val="0"/>
          <w:numId w:val="82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resultados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Cumprimento dos requisitos, performance, usabilidade.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87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Processo de aprendizado com o projeto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Detalhamento e visão do grupo em relação ao aprendizado durante o desenvolvimento do projeto.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1"/>
        </w:numPr>
        <w:tabs>
          <w:tab w:val="left" w:pos="851" w:leader="none"/>
        </w:tabs>
        <w:spacing w:before="480" w:after="360" w:line="240"/>
        <w:ind w:right="0" w:left="57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Considerações finais sobre A evolução da solução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Qual a visão do grupo em relação à evolução deste projeto. Caso haja mais tempo e dedicação no projeto em versões futuras, como ele seria ofertado/apresentado.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ReferÊncias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AHMAD, C. S.  et al. Mechanical properties of soft tissue femoral fixation devices for anterior cruciate ligament reconstruction.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Am J Sports Med,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v. 32, n. 3, p. 635-40, Apr-May 2004. ISSN 0363-5465 (Print). Disponível em: &lt;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http://www.ncbi.nlm.nih.gov/entrez/query.fcgi?cmd=Retrieve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"http://www.ncbi.nlm.nih.gov/entrez/query.fcgi?cmd=Retrieve&amp;db=PubMed&amp;dopt=Citation&amp;list_uids=15090378"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"http://www.ncbi.nlm.nih.gov/entrez/query.fcgi?cmd=Retrieve&amp;db=PubMed&amp;dopt=Citation&amp;list_uids=15090378"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db=PubMed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"http://www.ncbi.nlm.nih.gov/entrez/query.fcgi?cmd=Retrieve&amp;db=PubMed&amp;dopt=Citation&amp;list_uids=15090378"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"http://www.ncbi.nlm.nih.gov/entrez/query.fcgi?cmd=Retrieve&amp;db=PubMed&amp;dopt=Citation&amp;list_uids=15090378"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dopt=Citation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"http://www.ncbi.nlm.nih.gov/entrez/query.fcgi?cmd=Retrieve&amp;db=PubMed&amp;dopt=Citation&amp;list_uids=15090378"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"http://www.ncbi.nlm.nih.gov/entrez/query.fcgi?cmd=Retrieve&amp;db=PubMed&amp;dopt=Citation&amp;list_uids=15090378"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list_uids=15090378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&gt;. 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Journal of biomechanical engineering,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v. 123, p. 162,  2001.   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ENDO, V. T.  et al.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Investigação de Métodos de Fixação de Ligamentos e Tendões em Ensaios de Tração Uniaxial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Primeiro Encontro de Engenharia Biomecânica (ENEBI)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Petrópolis UFSC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p. 2007.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GOODSHIP, A.; BIRCH, H. Cross sectional area measurement of tendon and ligament in vitro: a simple, rapid, non-destructive technique.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Journal of biomechanics,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v. 38, n. 3, p. 605-608,  2005.   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NOYES, F.  et al.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Biomechanical analysis of human ligament grafts used in knee-ligament repairs and reconstructions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JBJS. 66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344-352 p. 1984.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NOYES, F. R.  et al. Intra-articular cruciate reconstruction. I: Perspectives on graft strength, vascularization, and immediate motion after replacement.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Clin Orthop Relat Res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n. 172, p. 71-7, Jan-Feb 1983. ISSN 0009-921X (Print). Disponível em: &lt;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http://www.ncbi.nlm.nih.gov/entrez/query.fcgi?cmd=Retrieve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"http://www.ncbi.nlm.nih.gov/entrez/query.fcgi?cmd=Retrieve&amp;db=PubMed&amp;dopt=Citation&amp;list_uids=6337002"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"http://www.ncbi.nlm.nih.gov/entrez/query.fcgi?cmd=Retrieve&amp;db=PubMed&amp;dopt=Citation&amp;list_uids=6337002"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db=PubMed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"http://www.ncbi.nlm.nih.gov/entrez/query.fcgi?cmd=Retrieve&amp;db=PubMed&amp;dopt=Citation&amp;list_uids=6337002"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"http://www.ncbi.nlm.nih.gov/entrez/query.fcgi?cmd=Retrieve&amp;db=PubMed&amp;dopt=Citation&amp;list_uids=6337002"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dopt=Citation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"http://www.ncbi.nlm.nih.gov/entrez/query.fcgi?cmd=Retrieve&amp;db=PubMed&amp;dopt=Citation&amp;list_uids=6337002"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"http://www.ncbi.nlm.nih.gov/entrez/query.fcgi?cmd=Retrieve&amp;db=PubMed&amp;dopt=Citation&amp;list_uids=6337002"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list_uids=6337002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&gt;. 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2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20">
    <w:abstractNumId w:val="126"/>
  </w:num>
  <w:num w:numId="23">
    <w:abstractNumId w:val="120"/>
  </w:num>
  <w:num w:numId="25">
    <w:abstractNumId w:val="114"/>
  </w:num>
  <w:num w:numId="27">
    <w:abstractNumId w:val="108"/>
  </w:num>
  <w:num w:numId="29">
    <w:abstractNumId w:val="102"/>
  </w:num>
  <w:num w:numId="32">
    <w:abstractNumId w:val="96"/>
  </w:num>
  <w:num w:numId="35">
    <w:abstractNumId w:val="90"/>
  </w:num>
  <w:num w:numId="37">
    <w:abstractNumId w:val="84"/>
  </w:num>
  <w:num w:numId="39">
    <w:abstractNumId w:val="78"/>
  </w:num>
  <w:num w:numId="42">
    <w:abstractNumId w:val="72"/>
  </w:num>
  <w:num w:numId="45">
    <w:abstractNumId w:val="66"/>
  </w:num>
  <w:num w:numId="47">
    <w:abstractNumId w:val="60"/>
  </w:num>
  <w:num w:numId="51">
    <w:abstractNumId w:val="54"/>
  </w:num>
  <w:num w:numId="55">
    <w:abstractNumId w:val="48"/>
  </w:num>
  <w:num w:numId="62">
    <w:abstractNumId w:val="42"/>
  </w:num>
  <w:num w:numId="66">
    <w:abstractNumId w:val="36"/>
  </w:num>
  <w:num w:numId="71">
    <w:abstractNumId w:val="30"/>
  </w:num>
  <w:num w:numId="73">
    <w:abstractNumId w:val="24"/>
  </w:num>
  <w:num w:numId="77">
    <w:abstractNumId w:val="18"/>
  </w:num>
  <w:num w:numId="82">
    <w:abstractNumId w:val="12"/>
  </w:num>
  <w:num w:numId="87">
    <w:abstractNumId w:val="6"/>
  </w:num>
  <w:num w:numId="9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://www.ncbi.nlm.nih.gov/entrez/query.fcgi?cmd=Retrieve&amp;db=PubMed&amp;dopt=Citation&amp;list_uids=6337002" Id="docRId7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://www.ncbi.nlm.nih.gov/entrez/query.fcgi?cmd=Retrieve&amp;db=PubMed&amp;dopt=Citation&amp;list_uids=15090378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