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3F5" w:rsidRPr="00F40DCC" w:rsidRDefault="00F40DCC" w:rsidP="004948F9">
      <w:pPr>
        <w:pStyle w:val="Heading1"/>
      </w:pPr>
      <w:r>
        <w:t>CULTURAL AWARENESS</w:t>
      </w:r>
    </w:p>
    <w:p w:rsidR="009063F5" w:rsidRPr="00990DD8" w:rsidRDefault="009063F5" w:rsidP="009063F5">
      <w:pPr>
        <w:spacing w:after="0"/>
        <w:jc w:val="both"/>
        <w:rPr>
          <w:sz w:val="28"/>
          <w:szCs w:val="28"/>
        </w:rPr>
      </w:pPr>
    </w:p>
    <w:p w:rsidR="009063F5" w:rsidRPr="00F40DCC" w:rsidRDefault="009063F5" w:rsidP="004948F9">
      <w:pPr>
        <w:pStyle w:val="Heading2"/>
      </w:pPr>
      <w:r w:rsidRPr="00F40DCC">
        <w:t>Purpose</w:t>
      </w:r>
    </w:p>
    <w:p w:rsidR="0041044A" w:rsidRDefault="0041044A" w:rsidP="009063F5">
      <w:pPr>
        <w:spacing w:after="0"/>
        <w:jc w:val="both"/>
        <w:rPr>
          <w:b/>
          <w:color w:val="00B0F0"/>
        </w:rPr>
      </w:pPr>
    </w:p>
    <w:p w:rsidR="009063F5" w:rsidRPr="00E31AAD" w:rsidRDefault="00B437FE" w:rsidP="009063F5">
      <w:pPr>
        <w:pStyle w:val="NoSpacing"/>
        <w:jc w:val="both"/>
      </w:pPr>
      <w:r>
        <w:t>The purpose of this policy</w:t>
      </w:r>
      <w:r w:rsidR="009063F5">
        <w:t xml:space="preserve"> is to provide a</w:t>
      </w:r>
      <w:r w:rsidR="009063F5" w:rsidRPr="00E31AAD">
        <w:t xml:space="preserve">n understanding of </w:t>
      </w:r>
      <w:r w:rsidR="009063F5">
        <w:t>cultural diversity as it relates</w:t>
      </w:r>
      <w:r w:rsidR="009063F5" w:rsidRPr="00E31AAD">
        <w:t xml:space="preserve"> to </w:t>
      </w:r>
      <w:r w:rsidR="009063F5">
        <w:t>people and services associated with</w:t>
      </w:r>
      <w:r w:rsidR="00680A8F">
        <w:t xml:space="preserve"> </w:t>
      </w:r>
      <w:r w:rsidR="00AE63B2">
        <w:t>Meditech</w:t>
      </w:r>
      <w:r w:rsidR="009063F5" w:rsidRPr="00E31AAD">
        <w:t>.</w:t>
      </w:r>
      <w:r w:rsidR="009063F5">
        <w:t xml:space="preserve"> As a culturally diverse organisation, </w:t>
      </w:r>
      <w:r w:rsidR="00AE63B2">
        <w:t>Meditech</w:t>
      </w:r>
      <w:r w:rsidR="009063F5">
        <w:t xml:space="preserve"> aims for culturally inclusive behaviour and activities that ensure cultural differences are heard, explored and provided for in service delivery. </w:t>
      </w:r>
    </w:p>
    <w:p w:rsidR="009063F5" w:rsidRDefault="009063F5" w:rsidP="009063F5">
      <w:pPr>
        <w:pStyle w:val="NoSpacing"/>
        <w:jc w:val="both"/>
        <w:rPr>
          <w:b/>
        </w:rPr>
      </w:pPr>
    </w:p>
    <w:p w:rsidR="009063F5" w:rsidRPr="00F40DCC" w:rsidRDefault="009063F5" w:rsidP="004948F9">
      <w:pPr>
        <w:pStyle w:val="Heading2"/>
      </w:pPr>
      <w:r w:rsidRPr="00F40DCC">
        <w:t xml:space="preserve">Policy </w:t>
      </w:r>
    </w:p>
    <w:p w:rsidR="009063F5" w:rsidRPr="0041044A" w:rsidRDefault="009063F5" w:rsidP="009063F5">
      <w:pPr>
        <w:pStyle w:val="NoSpacing"/>
        <w:jc w:val="both"/>
        <w:rPr>
          <w:b/>
          <w:color w:val="00B0F0"/>
        </w:rPr>
      </w:pPr>
    </w:p>
    <w:p w:rsidR="009063F5" w:rsidRDefault="00AE63B2" w:rsidP="009063F5">
      <w:pPr>
        <w:pStyle w:val="NoSpacing"/>
        <w:jc w:val="both"/>
      </w:pPr>
      <w:r>
        <w:t>Meditech</w:t>
      </w:r>
      <w:r w:rsidR="007B0FA5">
        <w:t xml:space="preserve"> </w:t>
      </w:r>
      <w:r w:rsidR="009063F5">
        <w:t>recognises that cultural diversity among its staff an</w:t>
      </w:r>
      <w:r w:rsidR="0041044A">
        <w:t xml:space="preserve">d the people it supports </w:t>
      </w:r>
      <w:r w:rsidR="002239E7">
        <w:t>is both</w:t>
      </w:r>
      <w:r w:rsidR="00B437FE">
        <w:t xml:space="preserve"> </w:t>
      </w:r>
      <w:r w:rsidR="002239E7">
        <w:t>strength</w:t>
      </w:r>
      <w:r w:rsidR="009063F5">
        <w:t xml:space="preserve"> and an asset and will continue to value diversity of opinions, perspectives and interests. </w:t>
      </w:r>
    </w:p>
    <w:p w:rsidR="009063F5" w:rsidRDefault="009063F5" w:rsidP="009063F5">
      <w:pPr>
        <w:pStyle w:val="NoSpacing"/>
        <w:jc w:val="both"/>
      </w:pPr>
    </w:p>
    <w:p w:rsidR="009063F5" w:rsidRDefault="00AE63B2" w:rsidP="009063F5">
      <w:pPr>
        <w:pStyle w:val="NoSpacing"/>
        <w:jc w:val="both"/>
      </w:pPr>
      <w:r>
        <w:t>Meditech</w:t>
      </w:r>
      <w:r w:rsidR="009063F5">
        <w:t xml:space="preserve"> will </w:t>
      </w:r>
      <w:r w:rsidR="0041044A">
        <w:t xml:space="preserve">where possible </w:t>
      </w:r>
      <w:r w:rsidR="009063F5">
        <w:t xml:space="preserve">work in partnership with local community </w:t>
      </w:r>
      <w:r w:rsidR="00B437FE">
        <w:t>leaders, agencies specialising in Cultural and Linguistic Diversity,</w:t>
      </w:r>
      <w:r w:rsidR="009063F5">
        <w:t xml:space="preserve"> and families</w:t>
      </w:r>
      <w:r w:rsidR="00B437FE">
        <w:t>,</w:t>
      </w:r>
      <w:r w:rsidR="009063F5">
        <w:t xml:space="preserve"> to ensure that it understands and implements culturally appropriate services.</w:t>
      </w:r>
    </w:p>
    <w:p w:rsidR="009063F5" w:rsidRDefault="009063F5" w:rsidP="009063F5">
      <w:pPr>
        <w:pStyle w:val="NoSpacing"/>
        <w:jc w:val="both"/>
      </w:pPr>
    </w:p>
    <w:p w:rsidR="009063F5" w:rsidRDefault="00AE63B2" w:rsidP="009063F5">
      <w:pPr>
        <w:pStyle w:val="NoSpacing"/>
        <w:jc w:val="both"/>
      </w:pPr>
      <w:r>
        <w:t>Meditech</w:t>
      </w:r>
      <w:r w:rsidR="009063F5">
        <w:t xml:space="preserve"> will ensure that all staff members receive training which raises awareness of cultural issues.</w:t>
      </w:r>
    </w:p>
    <w:p w:rsidR="009063F5" w:rsidRDefault="009063F5" w:rsidP="009063F5">
      <w:pPr>
        <w:pStyle w:val="NoSpacing"/>
        <w:jc w:val="both"/>
      </w:pPr>
    </w:p>
    <w:p w:rsidR="009063F5" w:rsidRDefault="00AE63B2" w:rsidP="009063F5">
      <w:pPr>
        <w:pStyle w:val="NoSpacing"/>
        <w:jc w:val="both"/>
      </w:pPr>
      <w:r>
        <w:t>Meditech</w:t>
      </w:r>
      <w:r w:rsidR="009063F5">
        <w:t xml:space="preserve"> is also committed to the provision of quality services to people from cult</w:t>
      </w:r>
      <w:r w:rsidR="0041044A">
        <w:t>urally</w:t>
      </w:r>
      <w:r w:rsidR="009063F5">
        <w:t xml:space="preserve"> diverse backgrounds and will practise equality and non-discrimination; promote racial and religious freedom and acknowledge the right of all people to be treated with dignity and respect. </w:t>
      </w:r>
    </w:p>
    <w:p w:rsidR="009063F5" w:rsidRDefault="009063F5" w:rsidP="009063F5">
      <w:pPr>
        <w:pStyle w:val="NoSpacing"/>
        <w:jc w:val="both"/>
      </w:pPr>
    </w:p>
    <w:p w:rsidR="009063F5" w:rsidRPr="009063F5" w:rsidRDefault="00AE63B2" w:rsidP="009063F5">
      <w:pPr>
        <w:pStyle w:val="NoSpacing"/>
        <w:jc w:val="both"/>
      </w:pPr>
      <w:r>
        <w:t>Meditech</w:t>
      </w:r>
      <w:r w:rsidR="009063F5">
        <w:t xml:space="preserve"> will consult with all service users and/or their families and advocates in order to identify and respond sensitively to their culture, belief and value system.</w:t>
      </w:r>
    </w:p>
    <w:p w:rsidR="009063F5" w:rsidRDefault="009063F5" w:rsidP="009063F5">
      <w:pPr>
        <w:pStyle w:val="NoSpacing"/>
        <w:jc w:val="both"/>
        <w:rPr>
          <w:color w:val="00B0F0"/>
        </w:rPr>
      </w:pPr>
    </w:p>
    <w:p w:rsidR="009063F5" w:rsidRPr="00F40DCC" w:rsidRDefault="009063F5" w:rsidP="004948F9">
      <w:pPr>
        <w:pStyle w:val="Heading2"/>
      </w:pPr>
      <w:r w:rsidRPr="00F40DCC">
        <w:t>Scope</w:t>
      </w:r>
    </w:p>
    <w:p w:rsidR="009063F5" w:rsidRDefault="009063F5" w:rsidP="009063F5">
      <w:pPr>
        <w:pStyle w:val="NoSpacing"/>
        <w:jc w:val="both"/>
        <w:rPr>
          <w:b/>
          <w:color w:val="00B0F0"/>
        </w:rPr>
      </w:pPr>
    </w:p>
    <w:p w:rsidR="009063F5" w:rsidRDefault="0041044A" w:rsidP="009063F5">
      <w:pPr>
        <w:pStyle w:val="NoSpacing"/>
        <w:jc w:val="both"/>
      </w:pPr>
      <w:r>
        <w:t>This policy applies</w:t>
      </w:r>
      <w:r w:rsidR="009063F5" w:rsidRPr="00C10A78">
        <w:t xml:space="preserve"> to all employees of </w:t>
      </w:r>
      <w:r w:rsidR="00AE63B2">
        <w:t>Meditech</w:t>
      </w:r>
      <w:r w:rsidR="00B437FE">
        <w:t xml:space="preserve">, </w:t>
      </w:r>
      <w:r w:rsidR="009063F5">
        <w:t>service users</w:t>
      </w:r>
      <w:r w:rsidR="00B437FE">
        <w:t xml:space="preserve">, </w:t>
      </w:r>
      <w:r w:rsidR="009063F5" w:rsidRPr="00C10A78">
        <w:t>as well as their families, guardians and advocates.</w:t>
      </w:r>
    </w:p>
    <w:p w:rsidR="009063F5" w:rsidRDefault="009063F5" w:rsidP="009063F5">
      <w:pPr>
        <w:pStyle w:val="NoSpacing"/>
        <w:jc w:val="both"/>
        <w:rPr>
          <w:b/>
          <w:color w:val="00B0F0"/>
        </w:rPr>
      </w:pPr>
    </w:p>
    <w:p w:rsidR="009063F5" w:rsidRPr="00F40DCC" w:rsidRDefault="009063F5" w:rsidP="004948F9">
      <w:pPr>
        <w:pStyle w:val="Heading2"/>
      </w:pPr>
      <w:r w:rsidRPr="00F40DCC">
        <w:t>Definitions</w:t>
      </w:r>
    </w:p>
    <w:p w:rsidR="009063F5" w:rsidRDefault="009063F5" w:rsidP="009063F5">
      <w:pPr>
        <w:pStyle w:val="NoSpacing"/>
        <w:jc w:val="both"/>
        <w:rPr>
          <w:color w:val="00B0F0"/>
        </w:rPr>
      </w:pPr>
    </w:p>
    <w:p w:rsidR="009063F5" w:rsidRDefault="009063F5" w:rsidP="009063F5">
      <w:pPr>
        <w:pStyle w:val="NoSpacing"/>
        <w:numPr>
          <w:ilvl w:val="0"/>
          <w:numId w:val="1"/>
        </w:numPr>
        <w:jc w:val="both"/>
        <w:rPr>
          <w:b/>
        </w:rPr>
      </w:pPr>
      <w:r>
        <w:rPr>
          <w:b/>
        </w:rPr>
        <w:t xml:space="preserve">Cultural Awareness: </w:t>
      </w:r>
      <w:r>
        <w:t>refers to an understanding of how a person’s culture may inform their values, behaviour, beliefs and basic assumptions.</w:t>
      </w:r>
    </w:p>
    <w:p w:rsidR="009063F5" w:rsidRPr="00867BEC" w:rsidRDefault="009063F5" w:rsidP="009063F5">
      <w:pPr>
        <w:pStyle w:val="NoSpacing"/>
        <w:numPr>
          <w:ilvl w:val="0"/>
          <w:numId w:val="1"/>
        </w:numPr>
        <w:jc w:val="both"/>
        <w:rPr>
          <w:b/>
        </w:rPr>
      </w:pPr>
      <w:r>
        <w:rPr>
          <w:b/>
        </w:rPr>
        <w:t xml:space="preserve">Cultural and Linguistic Diversity: </w:t>
      </w:r>
      <w:r>
        <w:t>refers to diverse cultural and language backgrounds that frequently reflect diverse ways of thinking and ways of life.</w:t>
      </w:r>
    </w:p>
    <w:p w:rsidR="009063F5" w:rsidRDefault="009063F5" w:rsidP="009063F5">
      <w:pPr>
        <w:pStyle w:val="NoSpacing"/>
        <w:numPr>
          <w:ilvl w:val="0"/>
          <w:numId w:val="1"/>
        </w:numPr>
        <w:jc w:val="both"/>
        <w:rPr>
          <w:b/>
        </w:rPr>
      </w:pPr>
      <w:r>
        <w:rPr>
          <w:b/>
        </w:rPr>
        <w:t>Cultural Diversity:</w:t>
      </w:r>
      <w:r>
        <w:t xml:space="preserve"> refers to cultural differences based on race, colour, language, ethnic origin as well as political and religious conviction. </w:t>
      </w:r>
    </w:p>
    <w:p w:rsidR="009063F5" w:rsidRPr="00CE573F" w:rsidRDefault="009063F5" w:rsidP="009063F5">
      <w:pPr>
        <w:pStyle w:val="NoSpacing"/>
        <w:numPr>
          <w:ilvl w:val="0"/>
          <w:numId w:val="1"/>
        </w:numPr>
        <w:jc w:val="both"/>
        <w:rPr>
          <w:b/>
        </w:rPr>
      </w:pPr>
      <w:r>
        <w:rPr>
          <w:b/>
        </w:rPr>
        <w:lastRenderedPageBreak/>
        <w:t xml:space="preserve">Inclusive Language: </w:t>
      </w:r>
      <w:r>
        <w:t xml:space="preserve">refers to language which is free from bias and discrimination and avoids stereotyping and false assumptions about people on the basis of their age, sex, disability, marital status, sexual orientation, race, colour, </w:t>
      </w:r>
      <w:r w:rsidR="0041044A">
        <w:t>and ethnic</w:t>
      </w:r>
      <w:r>
        <w:t xml:space="preserve"> origin, religious or political conviction. </w:t>
      </w:r>
    </w:p>
    <w:p w:rsidR="009063F5" w:rsidRPr="00CE573F" w:rsidRDefault="009063F5" w:rsidP="009063F5">
      <w:pPr>
        <w:pStyle w:val="NoSpacing"/>
        <w:jc w:val="both"/>
        <w:rPr>
          <w:color w:val="00B0F0"/>
        </w:rPr>
      </w:pPr>
    </w:p>
    <w:p w:rsidR="009063F5" w:rsidRPr="00F40DCC" w:rsidRDefault="009063F5" w:rsidP="004948F9">
      <w:pPr>
        <w:pStyle w:val="Heading2"/>
      </w:pPr>
      <w:r w:rsidRPr="00F40DCC">
        <w:t>Procedure</w:t>
      </w:r>
    </w:p>
    <w:p w:rsidR="009063F5" w:rsidRPr="003C136A" w:rsidRDefault="009063F5" w:rsidP="009063F5">
      <w:pPr>
        <w:pStyle w:val="NoSpacing"/>
        <w:jc w:val="both"/>
      </w:pPr>
    </w:p>
    <w:p w:rsidR="009063F5" w:rsidRDefault="009063F5" w:rsidP="009063F5">
      <w:pPr>
        <w:pStyle w:val="NoSpacing"/>
        <w:numPr>
          <w:ilvl w:val="0"/>
          <w:numId w:val="2"/>
        </w:numPr>
        <w:jc w:val="both"/>
      </w:pPr>
      <w:r>
        <w:t>Staff members must ensure that they consult sensitively with all new service users to identify those cultural issues, beliefs and values systems that are important to the person. All consultations of this nature should use the Beliefs and Values Consultati</w:t>
      </w:r>
      <w:r w:rsidR="00B437FE">
        <w:t>on Form.</w:t>
      </w:r>
    </w:p>
    <w:p w:rsidR="0041044A" w:rsidRDefault="0041044A" w:rsidP="0041044A">
      <w:pPr>
        <w:pStyle w:val="NoSpacing"/>
        <w:ind w:left="761"/>
        <w:jc w:val="both"/>
      </w:pPr>
    </w:p>
    <w:p w:rsidR="009063F5" w:rsidRDefault="009063F5" w:rsidP="009063F5">
      <w:pPr>
        <w:pStyle w:val="NoSpacing"/>
        <w:numPr>
          <w:ilvl w:val="0"/>
          <w:numId w:val="2"/>
        </w:numPr>
        <w:jc w:val="both"/>
      </w:pPr>
      <w:r>
        <w:t>Staff members must ensure that when cultural issues, beliefs and values have been determined</w:t>
      </w:r>
      <w:r w:rsidR="00B437FE">
        <w:t xml:space="preserve"> by using the Beliefs and Values Consultation Form and</w:t>
      </w:r>
      <w:r>
        <w:t xml:space="preserve"> in consultation with the </w:t>
      </w:r>
      <w:r w:rsidR="00221586">
        <w:t>service user</w:t>
      </w:r>
      <w:r w:rsidR="00B437FE">
        <w:t>, that the form should be retained in an appropriate place</w:t>
      </w:r>
      <w:r>
        <w:t xml:space="preserve"> o</w:t>
      </w:r>
      <w:r w:rsidR="00B437FE">
        <w:t>n the person’s file</w:t>
      </w:r>
      <w:r>
        <w:t>.</w:t>
      </w:r>
    </w:p>
    <w:p w:rsidR="009063F5" w:rsidRDefault="009063F5" w:rsidP="009063F5">
      <w:pPr>
        <w:pStyle w:val="NoSpacing"/>
        <w:jc w:val="both"/>
      </w:pPr>
    </w:p>
    <w:p w:rsidR="009063F5" w:rsidRDefault="009063F5" w:rsidP="009063F5">
      <w:pPr>
        <w:pStyle w:val="NoSpacing"/>
        <w:numPr>
          <w:ilvl w:val="0"/>
          <w:numId w:val="2"/>
        </w:numPr>
        <w:jc w:val="both"/>
      </w:pPr>
      <w:r>
        <w:t xml:space="preserve">All relevant issues relating to culture, beliefs and values systems must also be responded to sensitively by staff members and be included </w:t>
      </w:r>
      <w:r w:rsidR="00221586">
        <w:t>in the person’s individual/care</w:t>
      </w:r>
      <w:r>
        <w:t xml:space="preserve"> plans so that all services are delivered in</w:t>
      </w:r>
      <w:r w:rsidR="00221586">
        <w:t xml:space="preserve"> a culturally</w:t>
      </w:r>
      <w:r>
        <w:t xml:space="preserve"> appropriate manner.</w:t>
      </w:r>
    </w:p>
    <w:p w:rsidR="009063F5" w:rsidRDefault="009063F5" w:rsidP="009063F5">
      <w:pPr>
        <w:pStyle w:val="NoSpacing"/>
        <w:jc w:val="both"/>
      </w:pPr>
    </w:p>
    <w:p w:rsidR="009063F5" w:rsidRDefault="009063F5" w:rsidP="009063F5">
      <w:pPr>
        <w:pStyle w:val="NoSpacing"/>
        <w:numPr>
          <w:ilvl w:val="0"/>
          <w:numId w:val="2"/>
        </w:numPr>
        <w:jc w:val="both"/>
      </w:pPr>
      <w:r>
        <w:t xml:space="preserve">Staff members must ensure that the person’s cultural issues, beliefs and values systems are included in all service </w:t>
      </w:r>
      <w:r w:rsidR="00B437FE">
        <w:t xml:space="preserve">and planning </w:t>
      </w:r>
      <w:r>
        <w:t>reviews and updated where required.</w:t>
      </w:r>
    </w:p>
    <w:p w:rsidR="009063F5" w:rsidRDefault="009063F5" w:rsidP="009063F5">
      <w:pPr>
        <w:pStyle w:val="NoSpacing"/>
        <w:jc w:val="both"/>
      </w:pPr>
    </w:p>
    <w:p w:rsidR="009063F5" w:rsidRDefault="009063F5" w:rsidP="009063F5">
      <w:pPr>
        <w:pStyle w:val="NoSpacing"/>
        <w:numPr>
          <w:ilvl w:val="0"/>
          <w:numId w:val="2"/>
        </w:numPr>
        <w:jc w:val="both"/>
      </w:pPr>
      <w:r>
        <w:t>Staff members must always use inclusive language when communicating with service users, their families, colleagues and members of the community.</w:t>
      </w:r>
    </w:p>
    <w:p w:rsidR="009063F5" w:rsidRDefault="009063F5" w:rsidP="009063F5">
      <w:pPr>
        <w:pStyle w:val="NoSpacing"/>
        <w:jc w:val="both"/>
      </w:pPr>
    </w:p>
    <w:p w:rsidR="009063F5" w:rsidRDefault="009063F5" w:rsidP="004948F9">
      <w:pPr>
        <w:pStyle w:val="Heading2"/>
      </w:pPr>
      <w:r>
        <w:t>Human Resources</w:t>
      </w:r>
    </w:p>
    <w:p w:rsidR="009063F5" w:rsidRDefault="009063F5" w:rsidP="009063F5">
      <w:pPr>
        <w:pStyle w:val="NoSpacing"/>
        <w:jc w:val="both"/>
      </w:pPr>
    </w:p>
    <w:p w:rsidR="009063F5" w:rsidRDefault="009063F5" w:rsidP="009063F5">
      <w:pPr>
        <w:pStyle w:val="NoSpacing"/>
        <w:numPr>
          <w:ilvl w:val="0"/>
          <w:numId w:val="5"/>
        </w:numPr>
        <w:jc w:val="both"/>
      </w:pPr>
      <w:r>
        <w:t>Managers must ensure that cultural diversity is addressed in staff recruitment and education. Culturally inclusive recruitment practices will assist with engaging and retaining a cultu</w:t>
      </w:r>
      <w:r w:rsidR="00221586">
        <w:t>rally aware</w:t>
      </w:r>
      <w:r>
        <w:t xml:space="preserve"> workforce.</w:t>
      </w:r>
    </w:p>
    <w:p w:rsidR="009063F5" w:rsidRDefault="009063F5" w:rsidP="009063F5">
      <w:pPr>
        <w:pStyle w:val="NoSpacing"/>
        <w:jc w:val="both"/>
      </w:pPr>
    </w:p>
    <w:p w:rsidR="009063F5" w:rsidRDefault="009063F5" w:rsidP="009063F5">
      <w:pPr>
        <w:pStyle w:val="NoSpacing"/>
        <w:numPr>
          <w:ilvl w:val="0"/>
          <w:numId w:val="5"/>
        </w:numPr>
        <w:jc w:val="both"/>
      </w:pPr>
      <w:r>
        <w:t>Managers responsible for staff recruitment must ensure that those who sit on interview panels are trained in cultural awareness.</w:t>
      </w:r>
    </w:p>
    <w:p w:rsidR="009063F5" w:rsidRDefault="009063F5" w:rsidP="009063F5">
      <w:pPr>
        <w:pStyle w:val="NoSpacing"/>
        <w:jc w:val="both"/>
      </w:pPr>
    </w:p>
    <w:p w:rsidR="009063F5" w:rsidRDefault="009063F5" w:rsidP="009063F5">
      <w:pPr>
        <w:pStyle w:val="NoSpacing"/>
        <w:numPr>
          <w:ilvl w:val="0"/>
          <w:numId w:val="5"/>
        </w:numPr>
        <w:jc w:val="both"/>
      </w:pPr>
      <w:r>
        <w:t>Managers must consider the cultural and linguistic needs of the service users</w:t>
      </w:r>
      <w:r w:rsidR="00221586">
        <w:t xml:space="preserve"> when recruiting new staff to ensure that support staff members are</w:t>
      </w:r>
      <w:r>
        <w:t xml:space="preserve"> effectively matched with service users.</w:t>
      </w:r>
    </w:p>
    <w:p w:rsidR="009063F5" w:rsidRDefault="009063F5" w:rsidP="009063F5">
      <w:pPr>
        <w:pStyle w:val="NoSpacing"/>
        <w:jc w:val="both"/>
      </w:pPr>
    </w:p>
    <w:p w:rsidR="009063F5" w:rsidRPr="00643B6E" w:rsidRDefault="009063F5" w:rsidP="009063F5">
      <w:pPr>
        <w:pStyle w:val="NoSpacing"/>
        <w:numPr>
          <w:ilvl w:val="0"/>
          <w:numId w:val="5"/>
        </w:numPr>
        <w:jc w:val="both"/>
      </w:pPr>
      <w:r>
        <w:t>Managers must ensure that all staff members engage in education and development programs that enhance cultural awareness and maintain a non-discriminatory workplace.</w:t>
      </w:r>
    </w:p>
    <w:p w:rsidR="009063F5" w:rsidRDefault="009063F5" w:rsidP="009063F5">
      <w:pPr>
        <w:pStyle w:val="NoSpacing"/>
        <w:jc w:val="both"/>
        <w:rPr>
          <w:b/>
          <w:sz w:val="24"/>
          <w:szCs w:val="24"/>
        </w:rPr>
      </w:pPr>
    </w:p>
    <w:p w:rsidR="009063F5" w:rsidRDefault="009063F5" w:rsidP="004948F9">
      <w:pPr>
        <w:pStyle w:val="Heading2"/>
      </w:pPr>
      <w:r>
        <w:t>Communication</w:t>
      </w:r>
    </w:p>
    <w:p w:rsidR="009063F5" w:rsidRDefault="009063F5" w:rsidP="009063F5">
      <w:pPr>
        <w:pStyle w:val="NoSpacing"/>
        <w:jc w:val="both"/>
        <w:rPr>
          <w:b/>
        </w:rPr>
      </w:pPr>
    </w:p>
    <w:p w:rsidR="009063F5" w:rsidRDefault="009063F5" w:rsidP="009063F5">
      <w:pPr>
        <w:pStyle w:val="NoSpacing"/>
        <w:numPr>
          <w:ilvl w:val="0"/>
          <w:numId w:val="3"/>
        </w:numPr>
        <w:jc w:val="both"/>
      </w:pPr>
      <w:r>
        <w:t xml:space="preserve">The first step for staff members in the provision of appropriate services is to address the language and communication needs of the </w:t>
      </w:r>
      <w:r w:rsidR="00221586">
        <w:t>service user</w:t>
      </w:r>
      <w:r>
        <w:t>. Communication difficulties will compromise the quality of support provided.</w:t>
      </w:r>
    </w:p>
    <w:p w:rsidR="009063F5" w:rsidRDefault="009063F5" w:rsidP="009063F5">
      <w:pPr>
        <w:pStyle w:val="NoSpacing"/>
        <w:jc w:val="both"/>
      </w:pPr>
    </w:p>
    <w:p w:rsidR="009063F5" w:rsidRDefault="009063F5" w:rsidP="009063F5">
      <w:pPr>
        <w:pStyle w:val="NoSpacing"/>
        <w:numPr>
          <w:ilvl w:val="0"/>
          <w:numId w:val="3"/>
        </w:numPr>
        <w:jc w:val="both"/>
      </w:pPr>
      <w:r>
        <w:t xml:space="preserve">Where required staff members must ensure that information and support plans are in the preferred language of the </w:t>
      </w:r>
      <w:r w:rsidR="00221586">
        <w:t>service user</w:t>
      </w:r>
      <w:r>
        <w:t>. This includes any documents which enable the person to contribute to continuous improvement, provide feedback or make complaints.</w:t>
      </w:r>
    </w:p>
    <w:p w:rsidR="009063F5" w:rsidRDefault="009063F5" w:rsidP="009063F5">
      <w:pPr>
        <w:pStyle w:val="NoSpacing"/>
        <w:jc w:val="both"/>
      </w:pPr>
    </w:p>
    <w:p w:rsidR="009063F5" w:rsidRDefault="009063F5" w:rsidP="009063F5">
      <w:pPr>
        <w:pStyle w:val="NoSpacing"/>
        <w:numPr>
          <w:ilvl w:val="0"/>
          <w:numId w:val="3"/>
        </w:numPr>
        <w:jc w:val="both"/>
      </w:pPr>
      <w:r>
        <w:t xml:space="preserve">Where required staff members in conjunction with the </w:t>
      </w:r>
      <w:r w:rsidR="00221586">
        <w:t>service user</w:t>
      </w:r>
      <w:r>
        <w:t xml:space="preserve"> should utilise the services of professional interpreting and translating agencies or bi-lingual staff</w:t>
      </w:r>
      <w:r w:rsidR="00791C08">
        <w:t>,</w:t>
      </w:r>
      <w:r>
        <w:t xml:space="preserve"> especially where informed consent is required. This will also assist with developing support plans and risk management plans.</w:t>
      </w:r>
    </w:p>
    <w:p w:rsidR="009063F5" w:rsidRDefault="009063F5" w:rsidP="004948F9">
      <w:pPr>
        <w:pStyle w:val="Heading2"/>
      </w:pPr>
      <w:r>
        <w:t>Food</w:t>
      </w:r>
    </w:p>
    <w:p w:rsidR="009063F5" w:rsidRDefault="009063F5" w:rsidP="009063F5">
      <w:pPr>
        <w:pStyle w:val="NoSpacing"/>
        <w:jc w:val="both"/>
      </w:pPr>
    </w:p>
    <w:p w:rsidR="009063F5" w:rsidRDefault="009063F5" w:rsidP="009063F5">
      <w:pPr>
        <w:pStyle w:val="NoSpacing"/>
        <w:numPr>
          <w:ilvl w:val="0"/>
          <w:numId w:val="4"/>
        </w:numPr>
        <w:jc w:val="both"/>
      </w:pPr>
      <w:r>
        <w:t xml:space="preserve">Staff members must identify if the </w:t>
      </w:r>
      <w:r w:rsidR="00221586">
        <w:t>service user</w:t>
      </w:r>
      <w:r>
        <w:t xml:space="preserve"> has any religious or cultural requirements and preferences concerning diet and food preparation. </w:t>
      </w:r>
    </w:p>
    <w:p w:rsidR="009063F5" w:rsidRDefault="009063F5" w:rsidP="009063F5">
      <w:pPr>
        <w:pStyle w:val="NoSpacing"/>
        <w:jc w:val="both"/>
      </w:pPr>
    </w:p>
    <w:p w:rsidR="009063F5" w:rsidRDefault="009063F5" w:rsidP="009063F5">
      <w:pPr>
        <w:pStyle w:val="NoSpacing"/>
        <w:numPr>
          <w:ilvl w:val="0"/>
          <w:numId w:val="4"/>
        </w:numPr>
        <w:jc w:val="both"/>
      </w:pPr>
      <w:r>
        <w:t xml:space="preserve">Consultations relating to diet and food preparation must use the preferred language of the </w:t>
      </w:r>
      <w:r w:rsidR="00221586">
        <w:t>service user</w:t>
      </w:r>
      <w:r>
        <w:t xml:space="preserve"> so that communication is effective.</w:t>
      </w:r>
    </w:p>
    <w:p w:rsidR="009063F5" w:rsidRDefault="009063F5" w:rsidP="009063F5">
      <w:pPr>
        <w:pStyle w:val="NoSpacing"/>
        <w:jc w:val="both"/>
      </w:pPr>
    </w:p>
    <w:p w:rsidR="009063F5" w:rsidRDefault="009063F5" w:rsidP="009063F5">
      <w:pPr>
        <w:pStyle w:val="NoSpacing"/>
        <w:numPr>
          <w:ilvl w:val="0"/>
          <w:numId w:val="4"/>
        </w:numPr>
        <w:jc w:val="both"/>
      </w:pPr>
      <w:r>
        <w:t xml:space="preserve">Where a </w:t>
      </w:r>
      <w:r w:rsidR="00221586">
        <w:t>service user</w:t>
      </w:r>
      <w:r>
        <w:t xml:space="preserve"> has dietary or food preparation requirements, staff members must ensure that those requirements are implemented.</w:t>
      </w:r>
    </w:p>
    <w:p w:rsidR="009063F5" w:rsidRDefault="009063F5" w:rsidP="004948F9">
      <w:pPr>
        <w:pStyle w:val="Heading2"/>
      </w:pPr>
    </w:p>
    <w:p w:rsidR="009063F5" w:rsidRDefault="009063F5" w:rsidP="004948F9">
      <w:pPr>
        <w:pStyle w:val="Heading2"/>
      </w:pPr>
      <w:r>
        <w:rPr>
          <w:szCs w:val="24"/>
        </w:rPr>
        <w:t>Religion and Spirituality</w:t>
      </w:r>
    </w:p>
    <w:p w:rsidR="009063F5" w:rsidRDefault="009063F5" w:rsidP="009063F5">
      <w:pPr>
        <w:pStyle w:val="NoSpacing"/>
        <w:jc w:val="both"/>
        <w:rPr>
          <w:b/>
        </w:rPr>
      </w:pPr>
    </w:p>
    <w:p w:rsidR="009063F5" w:rsidRDefault="009063F5" w:rsidP="009063F5">
      <w:pPr>
        <w:pStyle w:val="NoSpacing"/>
        <w:numPr>
          <w:ilvl w:val="0"/>
          <w:numId w:val="6"/>
        </w:numPr>
        <w:jc w:val="both"/>
      </w:pPr>
      <w:r>
        <w:t>Staff members must ensure that service users</w:t>
      </w:r>
      <w:r w:rsidR="00221586">
        <w:t xml:space="preserve"> are free</w:t>
      </w:r>
      <w:r>
        <w:t xml:space="preserve"> to express their unique religion or spirituality in an open and non-judgemental environment by helping them to maintain important practices, beliefs and networks.</w:t>
      </w:r>
    </w:p>
    <w:p w:rsidR="009063F5" w:rsidRDefault="009063F5" w:rsidP="009063F5">
      <w:pPr>
        <w:pStyle w:val="NoSpacing"/>
        <w:jc w:val="both"/>
      </w:pPr>
    </w:p>
    <w:p w:rsidR="009063F5" w:rsidRDefault="009063F5" w:rsidP="009063F5">
      <w:pPr>
        <w:pStyle w:val="NoSpacing"/>
        <w:numPr>
          <w:ilvl w:val="0"/>
          <w:numId w:val="6"/>
        </w:numPr>
        <w:jc w:val="both"/>
      </w:pPr>
      <w:r>
        <w:t>Staff members must ensure th</w:t>
      </w:r>
      <w:r w:rsidR="00221586">
        <w:t>at the requirements</w:t>
      </w:r>
      <w:r>
        <w:t xml:space="preserve"> of the pers</w:t>
      </w:r>
      <w:r w:rsidR="00221586">
        <w:t>on’s religion or spirituality are</w:t>
      </w:r>
      <w:r>
        <w:t xml:space="preserve"> properly documented and implemented in relation to matters such as the person’s health care, personal care, dress, diet and food preparation.</w:t>
      </w:r>
    </w:p>
    <w:p w:rsidR="009063F5" w:rsidRDefault="009063F5" w:rsidP="009063F5">
      <w:pPr>
        <w:pStyle w:val="NoSpacing"/>
        <w:jc w:val="both"/>
      </w:pPr>
    </w:p>
    <w:p w:rsidR="009063F5" w:rsidRDefault="009063F5" w:rsidP="009063F5">
      <w:pPr>
        <w:pStyle w:val="NoSpacing"/>
        <w:numPr>
          <w:ilvl w:val="0"/>
          <w:numId w:val="6"/>
        </w:numPr>
        <w:jc w:val="both"/>
      </w:pPr>
      <w:r>
        <w:t xml:space="preserve">Where required staff members will support the person to participate in religious organisations, celebrations or festivals with others who share the religion and language of the </w:t>
      </w:r>
      <w:r w:rsidR="00221586">
        <w:t>service user</w:t>
      </w:r>
      <w:r>
        <w:t>.</w:t>
      </w:r>
    </w:p>
    <w:p w:rsidR="009063F5" w:rsidRDefault="009063F5" w:rsidP="009063F5">
      <w:pPr>
        <w:pStyle w:val="NoSpacing"/>
        <w:jc w:val="both"/>
      </w:pPr>
    </w:p>
    <w:p w:rsidR="009063F5" w:rsidRPr="00A17ED8" w:rsidRDefault="009063F5" w:rsidP="004948F9">
      <w:pPr>
        <w:pStyle w:val="Heading2"/>
      </w:pPr>
      <w:r w:rsidRPr="00A17ED8">
        <w:t>Health and Personal Care</w:t>
      </w:r>
    </w:p>
    <w:p w:rsidR="009063F5" w:rsidRDefault="009063F5" w:rsidP="009063F5">
      <w:pPr>
        <w:pStyle w:val="NoSpacing"/>
        <w:jc w:val="both"/>
        <w:rPr>
          <w:b/>
        </w:rPr>
      </w:pPr>
    </w:p>
    <w:p w:rsidR="009063F5" w:rsidRDefault="009063F5" w:rsidP="009063F5">
      <w:pPr>
        <w:pStyle w:val="NoSpacing"/>
        <w:numPr>
          <w:ilvl w:val="0"/>
          <w:numId w:val="7"/>
        </w:numPr>
        <w:jc w:val="both"/>
      </w:pPr>
      <w:r>
        <w:t xml:space="preserve">Staff members must ensure </w:t>
      </w:r>
      <w:r w:rsidR="00221586">
        <w:t xml:space="preserve">that translator and </w:t>
      </w:r>
      <w:r>
        <w:t>interpreter services are utilised where required when developing health and personal care plans and whenever informed consent is required.</w:t>
      </w:r>
    </w:p>
    <w:p w:rsidR="009063F5" w:rsidRDefault="009063F5" w:rsidP="009063F5">
      <w:pPr>
        <w:pStyle w:val="NoSpacing"/>
        <w:jc w:val="both"/>
      </w:pPr>
    </w:p>
    <w:p w:rsidR="009063F5" w:rsidRDefault="009063F5" w:rsidP="009063F5">
      <w:pPr>
        <w:pStyle w:val="NoSpacing"/>
        <w:numPr>
          <w:ilvl w:val="0"/>
          <w:numId w:val="7"/>
        </w:numPr>
        <w:jc w:val="both"/>
      </w:pPr>
      <w:r>
        <w:t>Staff members should consult with service users and their families regarding the influence of culture and religion on health and personal care support.</w:t>
      </w:r>
    </w:p>
    <w:p w:rsidR="009063F5" w:rsidRDefault="009063F5" w:rsidP="009063F5">
      <w:pPr>
        <w:pStyle w:val="NoSpacing"/>
        <w:jc w:val="both"/>
      </w:pPr>
    </w:p>
    <w:p w:rsidR="009063F5" w:rsidRDefault="009063F5" w:rsidP="009063F5">
      <w:pPr>
        <w:pStyle w:val="NoSpacing"/>
        <w:numPr>
          <w:ilvl w:val="0"/>
          <w:numId w:val="7"/>
        </w:numPr>
        <w:jc w:val="both"/>
      </w:pPr>
      <w:r>
        <w:t>Staff members should clarify that the role of family members in decision-making about health and personal care has been clearly established and documented.</w:t>
      </w:r>
    </w:p>
    <w:p w:rsidR="009063F5" w:rsidRDefault="009063F5" w:rsidP="009063F5">
      <w:pPr>
        <w:pStyle w:val="NoSpacing"/>
        <w:jc w:val="both"/>
      </w:pPr>
    </w:p>
    <w:p w:rsidR="009063F5" w:rsidRDefault="009063F5" w:rsidP="004948F9">
      <w:pPr>
        <w:pStyle w:val="Heading2"/>
      </w:pPr>
      <w:r>
        <w:lastRenderedPageBreak/>
        <w:t>Leisure Activities</w:t>
      </w:r>
    </w:p>
    <w:p w:rsidR="009063F5" w:rsidRDefault="009063F5" w:rsidP="009063F5">
      <w:pPr>
        <w:pStyle w:val="NoSpacing"/>
        <w:jc w:val="both"/>
      </w:pPr>
    </w:p>
    <w:p w:rsidR="009063F5" w:rsidRDefault="009063F5" w:rsidP="009063F5">
      <w:pPr>
        <w:pStyle w:val="NoSpacing"/>
        <w:numPr>
          <w:ilvl w:val="0"/>
          <w:numId w:val="8"/>
        </w:numPr>
        <w:jc w:val="both"/>
      </w:pPr>
      <w:r>
        <w:t>Where staff members are required to assist with leisure and</w:t>
      </w:r>
      <w:r w:rsidR="00791C08">
        <w:t>/or</w:t>
      </w:r>
      <w:r>
        <w:t xml:space="preserve"> activities programs they must ensure that they consult with the </w:t>
      </w:r>
      <w:r w:rsidR="00221586">
        <w:t>service user</w:t>
      </w:r>
      <w:r>
        <w:t xml:space="preserve"> so that such activities are culturally and linguistically appropriate.</w:t>
      </w:r>
    </w:p>
    <w:p w:rsidR="009063F5" w:rsidRDefault="009063F5" w:rsidP="009063F5">
      <w:pPr>
        <w:pStyle w:val="NoSpacing"/>
        <w:jc w:val="both"/>
      </w:pPr>
    </w:p>
    <w:p w:rsidR="009063F5" w:rsidRDefault="009063F5" w:rsidP="009063F5">
      <w:pPr>
        <w:pStyle w:val="NoSpacing"/>
        <w:numPr>
          <w:ilvl w:val="0"/>
          <w:numId w:val="8"/>
        </w:numPr>
        <w:jc w:val="both"/>
      </w:pPr>
      <w:r>
        <w:t>Staff members where required should ensure that service users are encouraged and supported to establish and maintain community and family involvement</w:t>
      </w:r>
    </w:p>
    <w:p w:rsidR="009063F5" w:rsidRDefault="009063F5" w:rsidP="009063F5">
      <w:pPr>
        <w:pStyle w:val="NoSpacing"/>
        <w:jc w:val="both"/>
      </w:pPr>
    </w:p>
    <w:p w:rsidR="009063F5" w:rsidRDefault="009063F5" w:rsidP="009063F5">
      <w:pPr>
        <w:pStyle w:val="NoSpacing"/>
        <w:numPr>
          <w:ilvl w:val="0"/>
          <w:numId w:val="8"/>
        </w:numPr>
        <w:jc w:val="both"/>
      </w:pPr>
      <w:r>
        <w:t xml:space="preserve">Staff members where required should assist the </w:t>
      </w:r>
      <w:r w:rsidR="00221586">
        <w:t>service user</w:t>
      </w:r>
      <w:r>
        <w:t xml:space="preserve"> to foster links with local community organisations that share the same culture, language and religion.</w:t>
      </w:r>
    </w:p>
    <w:p w:rsidR="009063F5" w:rsidRDefault="009063F5" w:rsidP="009063F5">
      <w:pPr>
        <w:pStyle w:val="ListParagraph"/>
        <w:jc w:val="both"/>
      </w:pPr>
    </w:p>
    <w:p w:rsidR="009063F5" w:rsidRPr="00F40DCC" w:rsidRDefault="00016842" w:rsidP="004948F9">
      <w:pPr>
        <w:pStyle w:val="Heading1"/>
      </w:pPr>
      <w:r w:rsidRPr="00F40DCC">
        <w:t>Legislation and Cross-Reference</w:t>
      </w:r>
    </w:p>
    <w:p w:rsidR="009063F5" w:rsidRPr="002F0736" w:rsidRDefault="009063F5" w:rsidP="009063F5">
      <w:pPr>
        <w:pStyle w:val="NoSpacing"/>
        <w:jc w:val="both"/>
        <w:rPr>
          <w:b/>
        </w:rPr>
      </w:pPr>
    </w:p>
    <w:p w:rsidR="009063F5" w:rsidRPr="002F0736" w:rsidRDefault="00016842" w:rsidP="009063F5">
      <w:pPr>
        <w:pStyle w:val="NoSpacing"/>
        <w:jc w:val="both"/>
        <w:rPr>
          <w:b/>
        </w:rPr>
      </w:pPr>
      <w:r>
        <w:rPr>
          <w:b/>
        </w:rPr>
        <w:t>NSW Disability Services Act 1993</w:t>
      </w:r>
    </w:p>
    <w:p w:rsidR="009063F5" w:rsidRPr="002F0736" w:rsidRDefault="009063F5" w:rsidP="009063F5">
      <w:pPr>
        <w:pStyle w:val="NoSpacing"/>
        <w:jc w:val="both"/>
        <w:rPr>
          <w:b/>
        </w:rPr>
      </w:pPr>
      <w:r w:rsidRPr="002F0736">
        <w:rPr>
          <w:rFonts w:eastAsia="Times New Roman"/>
          <w:b/>
          <w:iCs/>
          <w:lang w:eastAsia="en-AU"/>
        </w:rPr>
        <w:t>Commonwealth Human Rights and Equal Opportunity Commission Act 1986</w:t>
      </w:r>
    </w:p>
    <w:p w:rsidR="009063F5" w:rsidRPr="002F0736" w:rsidRDefault="009063F5" w:rsidP="009063F5">
      <w:pPr>
        <w:pStyle w:val="NoSpacing"/>
        <w:jc w:val="both"/>
        <w:rPr>
          <w:b/>
        </w:rPr>
      </w:pPr>
      <w:r w:rsidRPr="002F0736">
        <w:rPr>
          <w:rFonts w:eastAsia="Times New Roman"/>
          <w:b/>
          <w:iCs/>
          <w:lang w:eastAsia="en-AU"/>
        </w:rPr>
        <w:t>Commonwealth Disability Discrimination Act 1992</w:t>
      </w:r>
    </w:p>
    <w:p w:rsidR="009063F5" w:rsidRPr="002F0736" w:rsidRDefault="009063F5" w:rsidP="009063F5">
      <w:pPr>
        <w:pStyle w:val="NoSpacing"/>
        <w:jc w:val="both"/>
        <w:rPr>
          <w:b/>
        </w:rPr>
      </w:pPr>
      <w:r w:rsidRPr="002F0736">
        <w:rPr>
          <w:rFonts w:eastAsia="Times New Roman"/>
          <w:b/>
          <w:iCs/>
          <w:lang w:eastAsia="en-AU"/>
        </w:rPr>
        <w:t>NSW Guardianship Act 1987</w:t>
      </w:r>
    </w:p>
    <w:p w:rsidR="009063F5" w:rsidRPr="002F0736" w:rsidRDefault="009063F5" w:rsidP="009063F5">
      <w:pPr>
        <w:pStyle w:val="NoSpacing"/>
        <w:jc w:val="both"/>
        <w:rPr>
          <w:b/>
        </w:rPr>
      </w:pPr>
      <w:r w:rsidRPr="002F0736">
        <w:rPr>
          <w:b/>
        </w:rPr>
        <w:t xml:space="preserve">NSW Disability Services Standards </w:t>
      </w:r>
    </w:p>
    <w:p w:rsidR="009063F5" w:rsidRPr="00E31AAD" w:rsidRDefault="009063F5" w:rsidP="009063F5">
      <w:pPr>
        <w:pStyle w:val="NoSpacing"/>
        <w:jc w:val="both"/>
      </w:pPr>
    </w:p>
    <w:p w:rsidR="009063F5" w:rsidRDefault="00AF1CCF" w:rsidP="00AF1CCF">
      <w:pPr>
        <w:pStyle w:val="NoSpacing"/>
        <w:numPr>
          <w:ilvl w:val="2"/>
          <w:numId w:val="16"/>
        </w:numPr>
        <w:jc w:val="both"/>
      </w:pPr>
      <w:r>
        <w:t>Standard 1</w:t>
      </w:r>
      <w:r>
        <w:tab/>
      </w:r>
      <w:r w:rsidR="00016842">
        <w:t>Rights</w:t>
      </w:r>
    </w:p>
    <w:p w:rsidR="00AF1CCF" w:rsidRDefault="00AF1CCF" w:rsidP="00AF1CCF">
      <w:pPr>
        <w:pStyle w:val="NoSpacing"/>
        <w:numPr>
          <w:ilvl w:val="2"/>
          <w:numId w:val="16"/>
        </w:numPr>
        <w:jc w:val="both"/>
      </w:pPr>
      <w:r>
        <w:t>Standard 3</w:t>
      </w:r>
      <w:r>
        <w:tab/>
        <w:t>Individual Outcomes</w:t>
      </w:r>
      <w:r>
        <w:tab/>
      </w:r>
      <w:r>
        <w:tab/>
      </w:r>
      <w:r>
        <w:tab/>
      </w:r>
    </w:p>
    <w:p w:rsidR="009063F5" w:rsidRDefault="00AF1CCF" w:rsidP="00AF1CCF">
      <w:pPr>
        <w:pStyle w:val="NoSpacing"/>
        <w:numPr>
          <w:ilvl w:val="2"/>
          <w:numId w:val="16"/>
        </w:numPr>
        <w:jc w:val="both"/>
      </w:pPr>
      <w:r>
        <w:t>Standard 5</w:t>
      </w:r>
      <w:r>
        <w:tab/>
        <w:t>Service Access</w:t>
      </w:r>
    </w:p>
    <w:p w:rsidR="009063F5" w:rsidRDefault="009063F5" w:rsidP="009063F5">
      <w:pPr>
        <w:pStyle w:val="NoSpacing"/>
        <w:jc w:val="both"/>
      </w:pPr>
    </w:p>
    <w:p w:rsidR="009063F5" w:rsidRPr="002F0736" w:rsidRDefault="009063F5" w:rsidP="009063F5">
      <w:pPr>
        <w:pStyle w:val="NoSpacing"/>
        <w:jc w:val="both"/>
        <w:rPr>
          <w:b/>
        </w:rPr>
      </w:pPr>
    </w:p>
    <w:p w:rsidR="009063F5" w:rsidRPr="002F0736" w:rsidRDefault="00AF1CCF" w:rsidP="009063F5">
      <w:pPr>
        <w:pStyle w:val="NoSpacing"/>
        <w:jc w:val="both"/>
        <w:rPr>
          <w:b/>
        </w:rPr>
      </w:pPr>
      <w:r>
        <w:rPr>
          <w:b/>
        </w:rPr>
        <w:t xml:space="preserve">Other Relevant </w:t>
      </w:r>
      <w:r w:rsidR="00AE63B2">
        <w:rPr>
          <w:b/>
        </w:rPr>
        <w:t>Meditech</w:t>
      </w:r>
      <w:r>
        <w:rPr>
          <w:b/>
        </w:rPr>
        <w:t xml:space="preserve"> Policies and Procedures</w:t>
      </w:r>
    </w:p>
    <w:p w:rsidR="009063F5" w:rsidRPr="00E31AAD" w:rsidRDefault="009063F5" w:rsidP="009063F5">
      <w:pPr>
        <w:pStyle w:val="NoSpacing"/>
        <w:jc w:val="both"/>
      </w:pPr>
    </w:p>
    <w:p w:rsidR="00016842" w:rsidRDefault="00016842" w:rsidP="00AF1CCF">
      <w:pPr>
        <w:pStyle w:val="NoSpacing"/>
        <w:numPr>
          <w:ilvl w:val="2"/>
          <w:numId w:val="18"/>
        </w:numPr>
        <w:jc w:val="both"/>
      </w:pPr>
      <w:r>
        <w:t>Anti-Discrimination</w:t>
      </w:r>
    </w:p>
    <w:p w:rsidR="009063F5" w:rsidRPr="00E31AAD" w:rsidRDefault="009063F5" w:rsidP="00AF1CCF">
      <w:pPr>
        <w:pStyle w:val="NoSpacing"/>
        <w:numPr>
          <w:ilvl w:val="2"/>
          <w:numId w:val="18"/>
        </w:numPr>
        <w:jc w:val="both"/>
      </w:pPr>
      <w:r w:rsidRPr="00E31AAD">
        <w:t>Across-Agency Coordination</w:t>
      </w:r>
    </w:p>
    <w:p w:rsidR="009063F5" w:rsidRPr="00E31AAD" w:rsidRDefault="009063F5" w:rsidP="00AF1CCF">
      <w:pPr>
        <w:pStyle w:val="NoSpacing"/>
        <w:numPr>
          <w:ilvl w:val="2"/>
          <w:numId w:val="18"/>
        </w:numPr>
        <w:jc w:val="both"/>
      </w:pPr>
      <w:r w:rsidRPr="00E31AAD">
        <w:t>Consent</w:t>
      </w:r>
    </w:p>
    <w:p w:rsidR="009063F5" w:rsidRPr="00E31AAD" w:rsidRDefault="009063F5" w:rsidP="00AF1CCF">
      <w:pPr>
        <w:pStyle w:val="NoSpacing"/>
        <w:numPr>
          <w:ilvl w:val="2"/>
          <w:numId w:val="18"/>
        </w:numPr>
        <w:jc w:val="both"/>
      </w:pPr>
      <w:r w:rsidRPr="00E31AAD">
        <w:t>Decision Making and Choice</w:t>
      </w:r>
    </w:p>
    <w:p w:rsidR="009063F5" w:rsidRDefault="009063F5" w:rsidP="00AF1CCF">
      <w:pPr>
        <w:pStyle w:val="NoSpacing"/>
        <w:numPr>
          <w:ilvl w:val="2"/>
          <w:numId w:val="18"/>
        </w:numPr>
        <w:jc w:val="both"/>
      </w:pPr>
      <w:r w:rsidRPr="00E31AAD">
        <w:t>Planning</w:t>
      </w:r>
    </w:p>
    <w:p w:rsidR="009063F5" w:rsidRDefault="00016842" w:rsidP="009063F5">
      <w:pPr>
        <w:pStyle w:val="NoSpacing"/>
        <w:jc w:val="both"/>
      </w:pPr>
      <w:r>
        <w:tab/>
      </w:r>
      <w:r>
        <w:tab/>
      </w:r>
    </w:p>
    <w:p w:rsidR="009063F5" w:rsidRDefault="009063F5" w:rsidP="009063F5">
      <w:pPr>
        <w:spacing w:after="0"/>
        <w:jc w:val="both"/>
      </w:pPr>
    </w:p>
    <w:p w:rsidR="009063F5" w:rsidRDefault="009063F5" w:rsidP="009063F5">
      <w:pPr>
        <w:pStyle w:val="ListParagraph"/>
        <w:jc w:val="both"/>
      </w:pPr>
    </w:p>
    <w:p w:rsidR="009063F5" w:rsidRDefault="009063F5" w:rsidP="009063F5">
      <w:pPr>
        <w:pStyle w:val="ListParagraph"/>
        <w:jc w:val="both"/>
      </w:pPr>
    </w:p>
    <w:p w:rsidR="009063F5" w:rsidRDefault="009063F5" w:rsidP="009063F5">
      <w:pPr>
        <w:pStyle w:val="ListParagraph"/>
        <w:jc w:val="both"/>
      </w:pPr>
    </w:p>
    <w:p w:rsidR="009063F5" w:rsidRDefault="009063F5" w:rsidP="009063F5">
      <w:pPr>
        <w:pStyle w:val="ListParagraph"/>
        <w:jc w:val="both"/>
      </w:pPr>
    </w:p>
    <w:p w:rsidR="009063F5" w:rsidRDefault="009063F5" w:rsidP="003722B5">
      <w:pPr>
        <w:jc w:val="both"/>
      </w:pPr>
    </w:p>
    <w:p w:rsidR="009063F5" w:rsidRDefault="009063F5" w:rsidP="009063F5">
      <w:pPr>
        <w:pStyle w:val="ListParagraph"/>
        <w:jc w:val="both"/>
      </w:pPr>
    </w:p>
    <w:p w:rsidR="009063F5" w:rsidRDefault="009063F5" w:rsidP="009063F5">
      <w:pPr>
        <w:pStyle w:val="ListParagraph"/>
        <w:jc w:val="both"/>
      </w:pPr>
    </w:p>
    <w:p w:rsidR="009063F5" w:rsidRDefault="009063F5" w:rsidP="009063F5">
      <w:pPr>
        <w:pStyle w:val="ListParagraph"/>
        <w:jc w:val="both"/>
      </w:pPr>
    </w:p>
    <w:p w:rsidR="00CE6686" w:rsidRDefault="00CE6686">
      <w:bookmarkStart w:id="0" w:name="_GoBack"/>
      <w:bookmarkEnd w:id="0"/>
    </w:p>
    <w:sectPr w:rsidR="00CE6686" w:rsidSect="002239E7">
      <w:headerReference w:type="default" r:id="rId8"/>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6E6" w:rsidRDefault="001F76E6" w:rsidP="00705E92">
      <w:pPr>
        <w:spacing w:after="0" w:line="240" w:lineRule="auto"/>
      </w:pPr>
      <w:r>
        <w:separator/>
      </w:r>
    </w:p>
  </w:endnote>
  <w:endnote w:type="continuationSeparator" w:id="0">
    <w:p w:rsidR="001F76E6" w:rsidRDefault="001F76E6" w:rsidP="00705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0252"/>
      <w:docPartObj>
        <w:docPartGallery w:val="Page Numbers (Bottom of Page)"/>
        <w:docPartUnique/>
      </w:docPartObj>
    </w:sdtPr>
    <w:sdtEndPr/>
    <w:sdtContent>
      <w:sdt>
        <w:sdtPr>
          <w:id w:val="565050523"/>
          <w:docPartObj>
            <w:docPartGallery w:val="Page Numbers (Top of Page)"/>
            <w:docPartUnique/>
          </w:docPartObj>
        </w:sdtPr>
        <w:sdtEndPr/>
        <w:sdtContent>
          <w:p w:rsidR="002239E7" w:rsidRDefault="002239E7">
            <w:pPr>
              <w:pStyle w:val="Footer"/>
              <w:jc w:val="righ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2239E7" w:rsidTr="00BA2D7F">
              <w:tc>
                <w:tcPr>
                  <w:tcW w:w="3080" w:type="dxa"/>
                </w:tcPr>
                <w:p w:rsidR="002239E7" w:rsidRPr="002239E7" w:rsidRDefault="002239E7" w:rsidP="002239E7">
                  <w:pPr>
                    <w:pStyle w:val="Footer"/>
                    <w:rPr>
                      <w:sz w:val="16"/>
                      <w:szCs w:val="16"/>
                    </w:rPr>
                  </w:pPr>
                  <w:r w:rsidRPr="002239E7">
                    <w:rPr>
                      <w:sz w:val="16"/>
                      <w:szCs w:val="16"/>
                    </w:rPr>
                    <w:t>2013.06.23 Cultural Awareness</w:t>
                  </w:r>
                </w:p>
              </w:tc>
              <w:tc>
                <w:tcPr>
                  <w:tcW w:w="3081" w:type="dxa"/>
                </w:tcPr>
                <w:p w:rsidR="002239E7" w:rsidRPr="002239E7" w:rsidRDefault="002239E7" w:rsidP="00990DD8">
                  <w:pPr>
                    <w:pStyle w:val="Footer"/>
                    <w:jc w:val="center"/>
                    <w:rPr>
                      <w:sz w:val="16"/>
                      <w:szCs w:val="16"/>
                    </w:rPr>
                  </w:pPr>
                  <w:r w:rsidRPr="002239E7">
                    <w:rPr>
                      <w:sz w:val="16"/>
                      <w:szCs w:val="16"/>
                    </w:rPr>
                    <w:t xml:space="preserve"> </w:t>
                  </w:r>
                  <w:r w:rsidR="00515F01">
                    <w:rPr>
                      <w:sz w:val="16"/>
                      <w:szCs w:val="16"/>
                    </w:rPr>
                    <w:t>V</w:t>
                  </w:r>
                  <w:r w:rsidR="00990DD8">
                    <w:rPr>
                      <w:sz w:val="16"/>
                      <w:szCs w:val="16"/>
                    </w:rPr>
                    <w:t>001</w:t>
                  </w:r>
                </w:p>
              </w:tc>
              <w:tc>
                <w:tcPr>
                  <w:tcW w:w="3081" w:type="dxa"/>
                </w:tcPr>
                <w:p w:rsidR="002239E7" w:rsidRPr="002239E7" w:rsidRDefault="002239E7" w:rsidP="002239E7">
                  <w:pPr>
                    <w:pStyle w:val="Footer"/>
                    <w:jc w:val="right"/>
                    <w:rPr>
                      <w:sz w:val="16"/>
                      <w:szCs w:val="16"/>
                    </w:rPr>
                  </w:pPr>
                  <w:r w:rsidRPr="002239E7">
                    <w:rPr>
                      <w:sz w:val="16"/>
                      <w:szCs w:val="16"/>
                    </w:rPr>
                    <w:t xml:space="preserve">Page </w:t>
                  </w:r>
                  <w:r w:rsidR="007D584D" w:rsidRPr="002239E7">
                    <w:rPr>
                      <w:sz w:val="16"/>
                      <w:szCs w:val="16"/>
                    </w:rPr>
                    <w:fldChar w:fldCharType="begin"/>
                  </w:r>
                  <w:r w:rsidRPr="002239E7">
                    <w:rPr>
                      <w:sz w:val="16"/>
                      <w:szCs w:val="16"/>
                    </w:rPr>
                    <w:instrText xml:space="preserve"> PAGE </w:instrText>
                  </w:r>
                  <w:r w:rsidR="007D584D" w:rsidRPr="002239E7">
                    <w:rPr>
                      <w:sz w:val="16"/>
                      <w:szCs w:val="16"/>
                    </w:rPr>
                    <w:fldChar w:fldCharType="separate"/>
                  </w:r>
                  <w:r w:rsidR="003722B5">
                    <w:rPr>
                      <w:noProof/>
                      <w:sz w:val="16"/>
                      <w:szCs w:val="16"/>
                    </w:rPr>
                    <w:t>4</w:t>
                  </w:r>
                  <w:r w:rsidR="007D584D" w:rsidRPr="002239E7">
                    <w:rPr>
                      <w:sz w:val="16"/>
                      <w:szCs w:val="16"/>
                    </w:rPr>
                    <w:fldChar w:fldCharType="end"/>
                  </w:r>
                  <w:r w:rsidRPr="002239E7">
                    <w:rPr>
                      <w:sz w:val="16"/>
                      <w:szCs w:val="16"/>
                    </w:rPr>
                    <w:t xml:space="preserve"> of </w:t>
                  </w:r>
                  <w:r w:rsidR="007D584D" w:rsidRPr="002239E7">
                    <w:rPr>
                      <w:sz w:val="16"/>
                      <w:szCs w:val="16"/>
                    </w:rPr>
                    <w:fldChar w:fldCharType="begin"/>
                  </w:r>
                  <w:r w:rsidRPr="002239E7">
                    <w:rPr>
                      <w:sz w:val="16"/>
                      <w:szCs w:val="16"/>
                    </w:rPr>
                    <w:instrText xml:space="preserve"> NUMPAGES  </w:instrText>
                  </w:r>
                  <w:r w:rsidR="007D584D" w:rsidRPr="002239E7">
                    <w:rPr>
                      <w:sz w:val="16"/>
                      <w:szCs w:val="16"/>
                    </w:rPr>
                    <w:fldChar w:fldCharType="separate"/>
                  </w:r>
                  <w:r w:rsidR="003722B5">
                    <w:rPr>
                      <w:noProof/>
                      <w:sz w:val="16"/>
                      <w:szCs w:val="16"/>
                    </w:rPr>
                    <w:t>4</w:t>
                  </w:r>
                  <w:r w:rsidR="007D584D" w:rsidRPr="002239E7">
                    <w:rPr>
                      <w:sz w:val="16"/>
                      <w:szCs w:val="16"/>
                    </w:rPr>
                    <w:fldChar w:fldCharType="end"/>
                  </w:r>
                </w:p>
              </w:tc>
            </w:tr>
            <w:tr w:rsidR="0082610E" w:rsidTr="00BA2D7F">
              <w:tc>
                <w:tcPr>
                  <w:tcW w:w="3080" w:type="dxa"/>
                </w:tcPr>
                <w:p w:rsidR="0082610E" w:rsidRPr="002239E7" w:rsidRDefault="0082610E" w:rsidP="002239E7">
                  <w:pPr>
                    <w:pStyle w:val="Footer"/>
                    <w:rPr>
                      <w:sz w:val="16"/>
                      <w:szCs w:val="16"/>
                    </w:rPr>
                  </w:pPr>
                </w:p>
              </w:tc>
              <w:tc>
                <w:tcPr>
                  <w:tcW w:w="3081" w:type="dxa"/>
                </w:tcPr>
                <w:p w:rsidR="0082610E" w:rsidRPr="002239E7" w:rsidRDefault="0082610E" w:rsidP="00990DD8">
                  <w:pPr>
                    <w:pStyle w:val="Footer"/>
                    <w:jc w:val="center"/>
                    <w:rPr>
                      <w:sz w:val="16"/>
                      <w:szCs w:val="16"/>
                    </w:rPr>
                  </w:pPr>
                  <w:r>
                    <w:rPr>
                      <w:sz w:val="16"/>
                      <w:szCs w:val="16"/>
                    </w:rPr>
                    <w:t>Uncontrolled Document When Printed</w:t>
                  </w:r>
                </w:p>
              </w:tc>
              <w:tc>
                <w:tcPr>
                  <w:tcW w:w="3081" w:type="dxa"/>
                </w:tcPr>
                <w:p w:rsidR="0082610E" w:rsidRPr="002239E7" w:rsidRDefault="0082610E" w:rsidP="002239E7">
                  <w:pPr>
                    <w:pStyle w:val="Footer"/>
                    <w:jc w:val="right"/>
                    <w:rPr>
                      <w:sz w:val="16"/>
                      <w:szCs w:val="16"/>
                    </w:rPr>
                  </w:pPr>
                </w:p>
              </w:tc>
            </w:tr>
          </w:tbl>
          <w:p w:rsidR="002239E7" w:rsidRDefault="003722B5">
            <w:pPr>
              <w:pStyle w:val="Footer"/>
              <w:jc w:val="right"/>
            </w:pPr>
          </w:p>
        </w:sdtContent>
      </w:sdt>
    </w:sdtContent>
  </w:sdt>
  <w:p w:rsidR="00705E92" w:rsidRPr="00680A8F" w:rsidRDefault="00705E92">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6E6" w:rsidRDefault="001F76E6" w:rsidP="00705E92">
      <w:pPr>
        <w:spacing w:after="0" w:line="240" w:lineRule="auto"/>
      </w:pPr>
      <w:r>
        <w:separator/>
      </w:r>
    </w:p>
  </w:footnote>
  <w:footnote w:type="continuationSeparator" w:id="0">
    <w:p w:rsidR="001F76E6" w:rsidRDefault="001F76E6" w:rsidP="00705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8F9" w:rsidRDefault="006B1A43">
    <w:pPr>
      <w:pStyle w:val="Header"/>
    </w:pPr>
    <w:r>
      <w:rPr>
        <w:noProof/>
        <w:lang w:eastAsia="en-AU"/>
      </w:rPr>
      <w:drawing>
        <wp:anchor distT="0" distB="0" distL="114300" distR="114300" simplePos="0" relativeHeight="251661312" behindDoc="0" locked="0" layoutInCell="1" allowOverlap="1" wp14:anchorId="38F42CDF" wp14:editId="0A6A365D">
          <wp:simplePos x="0" y="0"/>
          <wp:positionH relativeFrom="column">
            <wp:posOffset>-321945</wp:posOffset>
          </wp:positionH>
          <wp:positionV relativeFrom="paragraph">
            <wp:posOffset>-382905</wp:posOffset>
          </wp:positionV>
          <wp:extent cx="1984285" cy="900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tech-Staffing-logo-outlined_positive.gif"/>
                  <pic:cNvPicPr/>
                </pic:nvPicPr>
                <pic:blipFill>
                  <a:blip r:embed="rId1">
                    <a:extLst>
                      <a:ext uri="{28A0092B-C50C-407E-A947-70E740481C1C}">
                        <a14:useLocalDpi xmlns:a14="http://schemas.microsoft.com/office/drawing/2010/main" val="0"/>
                      </a:ext>
                    </a:extLst>
                  </a:blip>
                  <a:stretch>
                    <a:fillRect/>
                  </a:stretch>
                </pic:blipFill>
                <pic:spPr>
                  <a:xfrm>
                    <a:off x="0" y="0"/>
                    <a:ext cx="1984285" cy="900000"/>
                  </a:xfrm>
                  <a:prstGeom prst="rect">
                    <a:avLst/>
                  </a:prstGeom>
                </pic:spPr>
              </pic:pic>
            </a:graphicData>
          </a:graphic>
          <wp14:sizeRelH relativeFrom="page">
            <wp14:pctWidth>0</wp14:pctWidth>
          </wp14:sizeRelH>
          <wp14:sizeRelV relativeFrom="page">
            <wp14:pctHeight>0</wp14:pctHeight>
          </wp14:sizeRelV>
        </wp:anchor>
      </w:drawing>
    </w:r>
  </w:p>
  <w:p w:rsidR="004948F9" w:rsidRDefault="004948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9427A"/>
    <w:multiLevelType w:val="hybridMultilevel"/>
    <w:tmpl w:val="3EA6E67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6075E74"/>
    <w:multiLevelType w:val="hybridMultilevel"/>
    <w:tmpl w:val="96AE30B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A196B45"/>
    <w:multiLevelType w:val="hybridMultilevel"/>
    <w:tmpl w:val="2ACC3AB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C4435D"/>
    <w:multiLevelType w:val="hybridMultilevel"/>
    <w:tmpl w:val="2D58DD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CC454D7"/>
    <w:multiLevelType w:val="hybridMultilevel"/>
    <w:tmpl w:val="9FFC07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DF83EB1"/>
    <w:multiLevelType w:val="hybridMultilevel"/>
    <w:tmpl w:val="54C6C36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67449A6"/>
    <w:multiLevelType w:val="hybridMultilevel"/>
    <w:tmpl w:val="72CEA7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3C80DE5"/>
    <w:multiLevelType w:val="hybridMultilevel"/>
    <w:tmpl w:val="C7A6BD8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46197FE5"/>
    <w:multiLevelType w:val="hybridMultilevel"/>
    <w:tmpl w:val="2DD83C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1A2709C"/>
    <w:multiLevelType w:val="hybridMultilevel"/>
    <w:tmpl w:val="91EA37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2066D31"/>
    <w:multiLevelType w:val="hybridMultilevel"/>
    <w:tmpl w:val="A65473A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55EC7D89"/>
    <w:multiLevelType w:val="hybridMultilevel"/>
    <w:tmpl w:val="90F6956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3">
      <w:start w:val="1"/>
      <w:numFmt w:val="bullet"/>
      <w:lvlText w:val="o"/>
      <w:lvlJc w:val="left"/>
      <w:pPr>
        <w:ind w:left="2880" w:hanging="360"/>
      </w:pPr>
      <w:rPr>
        <w:rFonts w:ascii="Courier New" w:hAnsi="Courier New" w:cs="Courier New"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A507ED5"/>
    <w:multiLevelType w:val="hybridMultilevel"/>
    <w:tmpl w:val="EAF0978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3">
      <w:start w:val="1"/>
      <w:numFmt w:val="bullet"/>
      <w:lvlText w:val="o"/>
      <w:lvlJc w:val="left"/>
      <w:pPr>
        <w:ind w:left="2880" w:hanging="360"/>
      </w:pPr>
      <w:rPr>
        <w:rFonts w:ascii="Courier New" w:hAnsi="Courier New" w:cs="Courier New"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01E2618"/>
    <w:multiLevelType w:val="hybridMultilevel"/>
    <w:tmpl w:val="377CE2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1ED1346"/>
    <w:multiLevelType w:val="hybridMultilevel"/>
    <w:tmpl w:val="21F03A0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A107B9F"/>
    <w:multiLevelType w:val="hybridMultilevel"/>
    <w:tmpl w:val="6EE0E5F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A6B1B48"/>
    <w:multiLevelType w:val="hybridMultilevel"/>
    <w:tmpl w:val="2AE6389A"/>
    <w:lvl w:ilvl="0" w:tplc="0C09000F">
      <w:start w:val="1"/>
      <w:numFmt w:val="decimal"/>
      <w:lvlText w:val="%1."/>
      <w:lvlJc w:val="left"/>
      <w:pPr>
        <w:ind w:left="761" w:hanging="360"/>
      </w:pPr>
    </w:lvl>
    <w:lvl w:ilvl="1" w:tplc="0C090019" w:tentative="1">
      <w:start w:val="1"/>
      <w:numFmt w:val="lowerLetter"/>
      <w:lvlText w:val="%2."/>
      <w:lvlJc w:val="left"/>
      <w:pPr>
        <w:ind w:left="1481" w:hanging="360"/>
      </w:pPr>
    </w:lvl>
    <w:lvl w:ilvl="2" w:tplc="0C09001B" w:tentative="1">
      <w:start w:val="1"/>
      <w:numFmt w:val="lowerRoman"/>
      <w:lvlText w:val="%3."/>
      <w:lvlJc w:val="right"/>
      <w:pPr>
        <w:ind w:left="2201" w:hanging="180"/>
      </w:pPr>
    </w:lvl>
    <w:lvl w:ilvl="3" w:tplc="0C09000F" w:tentative="1">
      <w:start w:val="1"/>
      <w:numFmt w:val="decimal"/>
      <w:lvlText w:val="%4."/>
      <w:lvlJc w:val="left"/>
      <w:pPr>
        <w:ind w:left="2921" w:hanging="360"/>
      </w:pPr>
    </w:lvl>
    <w:lvl w:ilvl="4" w:tplc="0C090019" w:tentative="1">
      <w:start w:val="1"/>
      <w:numFmt w:val="lowerLetter"/>
      <w:lvlText w:val="%5."/>
      <w:lvlJc w:val="left"/>
      <w:pPr>
        <w:ind w:left="3641" w:hanging="360"/>
      </w:pPr>
    </w:lvl>
    <w:lvl w:ilvl="5" w:tplc="0C09001B" w:tentative="1">
      <w:start w:val="1"/>
      <w:numFmt w:val="lowerRoman"/>
      <w:lvlText w:val="%6."/>
      <w:lvlJc w:val="right"/>
      <w:pPr>
        <w:ind w:left="4361" w:hanging="180"/>
      </w:pPr>
    </w:lvl>
    <w:lvl w:ilvl="6" w:tplc="0C09000F" w:tentative="1">
      <w:start w:val="1"/>
      <w:numFmt w:val="decimal"/>
      <w:lvlText w:val="%7."/>
      <w:lvlJc w:val="left"/>
      <w:pPr>
        <w:ind w:left="5081" w:hanging="360"/>
      </w:pPr>
    </w:lvl>
    <w:lvl w:ilvl="7" w:tplc="0C090019" w:tentative="1">
      <w:start w:val="1"/>
      <w:numFmt w:val="lowerLetter"/>
      <w:lvlText w:val="%8."/>
      <w:lvlJc w:val="left"/>
      <w:pPr>
        <w:ind w:left="5801" w:hanging="360"/>
      </w:pPr>
    </w:lvl>
    <w:lvl w:ilvl="8" w:tplc="0C09001B" w:tentative="1">
      <w:start w:val="1"/>
      <w:numFmt w:val="lowerRoman"/>
      <w:lvlText w:val="%9."/>
      <w:lvlJc w:val="right"/>
      <w:pPr>
        <w:ind w:left="6521" w:hanging="180"/>
      </w:pPr>
    </w:lvl>
  </w:abstractNum>
  <w:abstractNum w:abstractNumId="17" w15:restartNumberingAfterBreak="0">
    <w:nsid w:val="7FDE3E47"/>
    <w:multiLevelType w:val="hybridMultilevel"/>
    <w:tmpl w:val="64BA88A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15"/>
  </w:num>
  <w:num w:numId="4">
    <w:abstractNumId w:val="9"/>
  </w:num>
  <w:num w:numId="5">
    <w:abstractNumId w:val="13"/>
  </w:num>
  <w:num w:numId="6">
    <w:abstractNumId w:val="8"/>
  </w:num>
  <w:num w:numId="7">
    <w:abstractNumId w:val="3"/>
  </w:num>
  <w:num w:numId="8">
    <w:abstractNumId w:val="4"/>
  </w:num>
  <w:num w:numId="9">
    <w:abstractNumId w:val="10"/>
  </w:num>
  <w:num w:numId="10">
    <w:abstractNumId w:val="5"/>
  </w:num>
  <w:num w:numId="11">
    <w:abstractNumId w:val="7"/>
  </w:num>
  <w:num w:numId="12">
    <w:abstractNumId w:val="0"/>
  </w:num>
  <w:num w:numId="13">
    <w:abstractNumId w:val="1"/>
  </w:num>
  <w:num w:numId="14">
    <w:abstractNumId w:val="14"/>
  </w:num>
  <w:num w:numId="15">
    <w:abstractNumId w:val="12"/>
  </w:num>
  <w:num w:numId="16">
    <w:abstractNumId w:val="11"/>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9697"/>
  </w:hdrShapeDefaults>
  <w:footnotePr>
    <w:footnote w:id="-1"/>
    <w:footnote w:id="0"/>
  </w:footnotePr>
  <w:endnotePr>
    <w:endnote w:id="-1"/>
    <w:endnote w:id="0"/>
  </w:endnotePr>
  <w:compat>
    <w:compatSetting w:name="compatibilityMode" w:uri="http://schemas.microsoft.com/office/word" w:val="12"/>
  </w:compat>
  <w:rsids>
    <w:rsidRoot w:val="009063F5"/>
    <w:rsid w:val="00016842"/>
    <w:rsid w:val="0012056C"/>
    <w:rsid w:val="00141424"/>
    <w:rsid w:val="00142737"/>
    <w:rsid w:val="001F76E6"/>
    <w:rsid w:val="00221586"/>
    <w:rsid w:val="002239E7"/>
    <w:rsid w:val="0035785B"/>
    <w:rsid w:val="003722B5"/>
    <w:rsid w:val="0041044A"/>
    <w:rsid w:val="004943B2"/>
    <w:rsid w:val="004948F9"/>
    <w:rsid w:val="00515F01"/>
    <w:rsid w:val="00680A8F"/>
    <w:rsid w:val="006B1A43"/>
    <w:rsid w:val="00705E92"/>
    <w:rsid w:val="00791C08"/>
    <w:rsid w:val="007B0FA5"/>
    <w:rsid w:val="007D584D"/>
    <w:rsid w:val="0082610E"/>
    <w:rsid w:val="008C1167"/>
    <w:rsid w:val="009063F5"/>
    <w:rsid w:val="00990DD8"/>
    <w:rsid w:val="009E5815"/>
    <w:rsid w:val="00AE63B2"/>
    <w:rsid w:val="00AF1CCF"/>
    <w:rsid w:val="00B3425D"/>
    <w:rsid w:val="00B437FE"/>
    <w:rsid w:val="00BA2D7F"/>
    <w:rsid w:val="00BF0455"/>
    <w:rsid w:val="00CE6686"/>
    <w:rsid w:val="00DA473F"/>
    <w:rsid w:val="00DB1847"/>
    <w:rsid w:val="00F40DCC"/>
    <w:rsid w:val="00F665E5"/>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14:docId w14:val="7F41FCF9"/>
  <w15:docId w15:val="{7E59B438-22C1-423C-BA27-A3CF90B84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3F5"/>
    <w:rPr>
      <w:rFonts w:ascii="Calibri" w:eastAsia="Calibri" w:hAnsi="Calibri" w:cs="Times New Roman"/>
    </w:rPr>
  </w:style>
  <w:style w:type="paragraph" w:styleId="Heading1">
    <w:name w:val="heading 1"/>
    <w:basedOn w:val="Normal"/>
    <w:next w:val="Normal"/>
    <w:link w:val="Heading1Char"/>
    <w:uiPriority w:val="9"/>
    <w:qFormat/>
    <w:rsid w:val="004948F9"/>
    <w:pPr>
      <w:keepNext/>
      <w:keepLines/>
      <w:spacing w:before="480" w:after="120"/>
      <w:outlineLvl w:val="0"/>
    </w:pPr>
    <w:rPr>
      <w:rFonts w:eastAsiaTheme="majorEastAsia" w:cstheme="majorBidi"/>
      <w:b/>
      <w:bCs/>
      <w:caps/>
      <w:sz w:val="32"/>
      <w:szCs w:val="28"/>
    </w:rPr>
  </w:style>
  <w:style w:type="paragraph" w:styleId="Heading2">
    <w:name w:val="heading 2"/>
    <w:basedOn w:val="Normal"/>
    <w:next w:val="Normal"/>
    <w:link w:val="Heading2Char"/>
    <w:uiPriority w:val="9"/>
    <w:unhideWhenUsed/>
    <w:qFormat/>
    <w:rsid w:val="004948F9"/>
    <w:pPr>
      <w:keepNext/>
      <w:keepLines/>
      <w:spacing w:before="120" w:after="120"/>
      <w:outlineLvl w:val="1"/>
    </w:pPr>
    <w:rPr>
      <w:rFonts w:eastAsiaTheme="majorEastAsia" w:cstheme="majorBidi"/>
      <w:b/>
      <w:bCs/>
      <w:cap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3F5"/>
    <w:pPr>
      <w:ind w:left="720"/>
      <w:contextualSpacing/>
    </w:pPr>
  </w:style>
  <w:style w:type="paragraph" w:styleId="NoSpacing">
    <w:name w:val="No Spacing"/>
    <w:uiPriority w:val="1"/>
    <w:qFormat/>
    <w:rsid w:val="009063F5"/>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705E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E92"/>
    <w:rPr>
      <w:rFonts w:ascii="Calibri" w:eastAsia="Calibri" w:hAnsi="Calibri" w:cs="Times New Roman"/>
    </w:rPr>
  </w:style>
  <w:style w:type="paragraph" w:styleId="Footer">
    <w:name w:val="footer"/>
    <w:basedOn w:val="Normal"/>
    <w:link w:val="FooterChar"/>
    <w:uiPriority w:val="99"/>
    <w:unhideWhenUsed/>
    <w:rsid w:val="00705E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E92"/>
    <w:rPr>
      <w:rFonts w:ascii="Calibri" w:eastAsia="Calibri" w:hAnsi="Calibri" w:cs="Times New Roman"/>
    </w:rPr>
  </w:style>
  <w:style w:type="paragraph" w:styleId="BalloonText">
    <w:name w:val="Balloon Text"/>
    <w:basedOn w:val="Normal"/>
    <w:link w:val="BalloonTextChar"/>
    <w:uiPriority w:val="99"/>
    <w:semiHidden/>
    <w:unhideWhenUsed/>
    <w:rsid w:val="00680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A8F"/>
    <w:rPr>
      <w:rFonts w:ascii="Tahoma" w:eastAsia="Calibri" w:hAnsi="Tahoma" w:cs="Tahoma"/>
      <w:sz w:val="16"/>
      <w:szCs w:val="16"/>
    </w:rPr>
  </w:style>
  <w:style w:type="table" w:styleId="TableGrid">
    <w:name w:val="Table Grid"/>
    <w:basedOn w:val="TableNormal"/>
    <w:uiPriority w:val="59"/>
    <w:rsid w:val="002239E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4948F9"/>
    <w:rPr>
      <w:rFonts w:ascii="Calibri" w:eastAsiaTheme="majorEastAsia" w:hAnsi="Calibri" w:cstheme="majorBidi"/>
      <w:b/>
      <w:bCs/>
      <w:caps/>
      <w:sz w:val="32"/>
      <w:szCs w:val="28"/>
    </w:rPr>
  </w:style>
  <w:style w:type="character" w:customStyle="1" w:styleId="Heading2Char">
    <w:name w:val="Heading 2 Char"/>
    <w:basedOn w:val="DefaultParagraphFont"/>
    <w:link w:val="Heading2"/>
    <w:uiPriority w:val="9"/>
    <w:rsid w:val="004948F9"/>
    <w:rPr>
      <w:rFonts w:ascii="Calibri" w:eastAsiaTheme="majorEastAsia" w:hAnsi="Calibri" w:cstheme="majorBidi"/>
      <w:b/>
      <w:bCs/>
      <w:cap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FE341-8319-464D-8110-B4839549E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bill.storrie@bigpond.com</dc:creator>
  <cp:lastModifiedBy>LifeScope Health</cp:lastModifiedBy>
  <cp:revision>14</cp:revision>
  <cp:lastPrinted>2017-07-25T02:02:00Z</cp:lastPrinted>
  <dcterms:created xsi:type="dcterms:W3CDTF">2013-06-30T14:36:00Z</dcterms:created>
  <dcterms:modified xsi:type="dcterms:W3CDTF">2017-07-25T02:03:00Z</dcterms:modified>
</cp:coreProperties>
</file>