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48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63040" cy="7700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p-investiment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770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b/>
                <w:sz w:val="24"/>
              </w:rPr>
              <w:t>Antonio Bicudo</w:t>
              <w:br/>
            </w:r>
            <w:r>
              <w:rPr>
                <w:i/>
                <w:sz w:val="20"/>
              </w:rPr>
              <w:t>Assessor de Investimentos</w:t>
              <w:br/>
            </w:r>
          </w:p>
        </w:tc>
      </w:tr>
    </w:tbl>
    <w:p/>
    <w:p>
      <w:pPr>
        <w:jc w:val="right"/>
      </w:pPr>
      <w:r>
        <w:t>São Paulo, 09 de dezembro de 2025</w:t>
      </w:r>
    </w:p>
    <w:p>
      <w:pPr>
        <w:jc w:val="left"/>
      </w:pPr>
      <w:r>
        <w:rPr>
          <w:b/>
          <w:sz w:val="22"/>
        </w:rPr>
        <w:t>Relatório Mensal de Investimentos</w:t>
      </w:r>
    </w:p>
    <w:p/>
    <w:p>
      <w:pPr>
        <w:jc w:val="left"/>
      </w:pPr>
      <w:r>
        <w:rPr>
          <w:b/>
        </w:rPr>
        <w:t>Prezado(a) Albert da Silva</w:t>
      </w:r>
    </w:p>
    <w:p>
      <w:pPr>
        <w:spacing w:after="160" w:line="276" w:lineRule="auto"/>
        <w:jc w:val="both"/>
      </w:pPr>
      <w:r>
        <w:t>O cenário macroeconômico atual no Brasil apresenta uma complexidade que demanda atenção cuidadosa. Com um crescimento moderado projetado de 2,0% para 2025, após um robusto 3,6% em 2024, as expectativas de desaceleração estão se tornando mais evidentes. A inflação, que permanece elevada, deve atingir 6,1% em 2025, antes de uma possível redução para 4,5% em 2026. Esse ambiente de alta inflação e taxas de juros elevadas, com a Selic projetada em 15,50%, reflete uma política monetária restritiva que visa conter os preços. Além disso, a cautela do mercado é evidente, impulsionada por preocupações sobre a sustentabilidade fiscal e a volatilidade externa, especialmente em relação às políticas comerciais dos EUA.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38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85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 w:line="276" w:lineRule="auto"/>
        <w:jc w:val="both"/>
      </w:pPr>
      <w:r>
        <w:t>Neste contexto, analisamos o desempenho recente do seu portfólio, que totaliza R$ 386.858,82, sendo R$ 312.186,20 investidos e R$ 74.672,62 disponíveis. A alocação do portfólio é diversificada, com 19,32% em ações, 67,71% em fundos de investimento e 12,97% em renda fixa. Como podemos observar no gráfico de distribuição do portfólio, a maior parte dos ativos está concentrada em fundos, que têm apresentado um desempenho positivo, com destaque para o Riza Lotus Plus Advisory, que rendeu 15,51%. No entanto, algumas ações, como LREN3 e HAPV3, estão enfrentando perdas significativas, o que pode impactar a performance geral.</w:t>
      </w:r>
    </w:p>
    <w:p>
      <w:pPr>
        <w:spacing w:after="160" w:line="276" w:lineRule="auto"/>
        <w:jc w:val="both"/>
      </w:pPr>
      <w:r>
        <w:t>A ligação entre o ambiente macroeconômico e o comportamento do portfólio é clara. A alta inflação e as taxas elevadas de juros tendem a pressionar os preços das ações, especialmente aquelas em setores mais sensíveis à economia. Portanto, considerando seu perfil de risco moderado, é fundamental manter uma alocação equilibrada que preserve o capital enquanto busca oportunidades de crescimento.</w:t>
      </w:r>
    </w:p>
    <w:p>
      <w:pPr>
        <w:spacing w:after="160" w:line="276" w:lineRule="auto"/>
        <w:jc w:val="both"/>
      </w:pPr>
      <w:r>
        <w:t>Diante deste cenário, minhas recomendações são as seguintes: primeiro, considere reforçar a alocação em fundos de investimento que se beneficiem de um ambiente de alta inflação, como aqueles focados em ativos reais ou que ofereçam proteção contra a inflação. Aumentar a exposição a esses instrumentos pode ajudar a mitigar os riscos associados à volatilidade do mercado acionário.</w:t>
      </w:r>
    </w:p>
    <w:p>
      <w:pPr>
        <w:spacing w:after="160" w:line="276" w:lineRule="auto"/>
        <w:jc w:val="both"/>
      </w:pPr>
      <w:r>
        <w:t>Além disso, com um saldo disponível de R$ 74.672,62, pode ser interessante alocar uma parte desse montante em renda fixa, especialmente em CDBs que ofereçam retornos atrelados à inflação, como o CDB do Banco C6, que já está em seu portfólio. Isso proporcionaria uma camada adicional de segurança em um ambiente de incertezas.</w:t>
      </w:r>
    </w:p>
    <w:p>
      <w:pPr>
        <w:spacing w:after="160" w:line="276" w:lineRule="auto"/>
        <w:jc w:val="both"/>
      </w:pPr>
      <w:r>
        <w:t>Por fim, é crucial continuar monitorando a evolução da economia e ajustar a alocação do portfólio conforme necessário. A diversificação e a vigilância constante são suas melhores aliadas para navegar por este período desafiador, garantindo que seu portfólio não apenas preserve, mas também aumente seu poder de compra ao longo do tempo.</w:t>
      </w:r>
    </w:p>
    <w:p>
      <w:pPr>
        <w:spacing w:after="160" w:line="276" w:lineRule="auto"/>
        <w:jc w:val="both"/>
      </w:pPr>
      <w:r>
        <w:t>Estamos à disposição para discutir mais detalhadamente os resultados e as recomendações, bem como para esclarecer quaisquer dúvidas que você possa ter. Agradecemos pela confiança depositada em nossos serviços e seguimos comprometidos em ajudá-lo a alcançar seus objetivos financeiros.</w:t>
      </w:r>
    </w:p>
    <w:p/>
    <w:p>
      <w:pPr>
        <w:jc w:val="left"/>
      </w:pPr>
      <w:r>
        <w:rPr>
          <w:b w:val="0"/>
        </w:rPr>
        <w:t>Atenciosamente,</w:t>
      </w:r>
    </w:p>
    <w:p>
      <w:pPr>
        <w:jc w:val="left"/>
      </w:pPr>
      <w:r>
        <w:rPr>
          <w:b/>
          <w:sz w:val="22"/>
        </w:rPr>
        <w:t>Antonio Bicudo</w:t>
        <w:br/>
      </w:r>
      <w:r>
        <w:rPr>
          <w:i/>
          <w:sz w:val="20"/>
        </w:rPr>
        <w:t>Assessor de Investimentos</w:t>
      </w:r>
    </w:p>
    <w:sectPr w:rsidR="00FC693F" w:rsidRPr="0006063C" w:rsidSect="00034616">
      <w:footerReference w:type="default" r:id="rId11"/>
      <w:pgSz w:w="12240" w:h="15840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120" w:after="0"/>
      <w:jc w:val="center"/>
    </w:pPr>
    <w:r>
      <w:rPr>
        <w:sz w:val="18"/>
      </w:rPr>
      <w:t>XP Investimentos · Av. Presidente Juscelino Kubitschek, 1909 · (11) 4003 3710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