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Default="00D52DD7">
      <w:pPr>
        <w:rPr>
          <w:rFonts w:cstheme="minorHAnsi"/>
          <w:lang w:val="vi-VN"/>
        </w:rPr>
      </w:pPr>
    </w:p>
    <w:p w14:paraId="29B74628" w14:textId="0A3C913D" w:rsidR="00D52DD7" w:rsidRDefault="00D52DD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1</w:t>
      </w:r>
    </w:p>
    <w:p w14:paraId="509C9A37" w14:textId="076F162C" w:rsidR="00D338D4" w:rsidRPr="00D52DD7" w:rsidRDefault="00D338D4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2</w:t>
      </w:r>
    </w:p>
    <w:sectPr w:rsidR="00D338D4" w:rsidRPr="00D52DD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6A70EA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4</cp:revision>
  <dcterms:created xsi:type="dcterms:W3CDTF">2020-11-18T17:16:00Z</dcterms:created>
  <dcterms:modified xsi:type="dcterms:W3CDTF">2021-03-19T06:52:00Z</dcterms:modified>
</cp:coreProperties>
</file>