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224B3" w:rsidRDefault="000224B3">
      <w:pPr>
        <w:pStyle w:val="PageNumber"/>
        <w:ind w:right="992"/>
      </w:pPr>
      <w:r>
        <w:t>5</w:t>
      </w:r>
    </w:p>
    <w:p w:rsidR="000224B3" w:rsidRDefault="000224B3">
      <w:pPr>
        <w:pStyle w:val="PageNumber"/>
        <w:ind w:right="992"/>
      </w:pPr>
    </w:p>
    <w:p w:rsidR="000224B3" w:rsidRDefault="000224B3">
      <w:pPr>
        <w:pStyle w:val="1Judges"/>
        <w:ind w:right="992"/>
        <w:rPr>
          <w:lang w:val="en-GB"/>
        </w:rPr>
      </w:pPr>
      <w:r>
        <w:rPr>
          <w:lang w:val="en-GB"/>
        </w:rPr>
        <w:t>[MALACHTOS, J.]</w:t>
      </w:r>
    </w:p>
    <w:p w:rsidR="000224B3" w:rsidRDefault="000224B3">
      <w:pPr>
        <w:pStyle w:val="1Judges"/>
        <w:ind w:right="992"/>
        <w:rPr>
          <w:lang w:val="en-GB"/>
        </w:rPr>
      </w:pPr>
    </w:p>
    <w:p w:rsidR="000224B3" w:rsidRDefault="000224B3">
      <w:pPr>
        <w:ind w:right="992"/>
        <w:jc w:val="center"/>
        <w:rPr>
          <w:b/>
          <w:sz w:val="24"/>
          <w:lang w:val="en-GB"/>
        </w:rPr>
      </w:pPr>
      <w:r>
        <w:rPr>
          <w:sz w:val="24"/>
          <w:lang w:val="en-GB"/>
        </w:rPr>
        <w:t>(1985 February 16)</w:t>
      </w:r>
    </w:p>
    <w:p w:rsidR="000224B3" w:rsidRDefault="000224B3">
      <w:pPr>
        <w:ind w:right="992"/>
        <w:jc w:val="center"/>
        <w:rPr>
          <w:b/>
          <w:sz w:val="24"/>
          <w:lang w:val="en-GB"/>
        </w:rPr>
      </w:pPr>
    </w:p>
    <w:p w:rsidR="000224B3" w:rsidRDefault="000224B3">
      <w:pPr>
        <w:ind w:right="992"/>
        <w:jc w:val="center"/>
        <w:rPr>
          <w:b/>
          <w:sz w:val="24"/>
          <w:lang w:val="en-GB"/>
        </w:rPr>
      </w:pPr>
      <w:r>
        <w:rPr>
          <w:b/>
          <w:sz w:val="24"/>
          <w:lang w:val="en-GB"/>
        </w:rPr>
        <w:t>1. JORDAN CONSTRUCTING MATERIAL CO. LTD.,</w:t>
      </w:r>
    </w:p>
    <w:p w:rsidR="000224B3" w:rsidRDefault="000224B3">
      <w:pPr>
        <w:ind w:right="992"/>
        <w:jc w:val="center"/>
        <w:rPr>
          <w:b/>
          <w:sz w:val="24"/>
          <w:lang w:val="en-GB"/>
        </w:rPr>
      </w:pPr>
    </w:p>
    <w:p w:rsidR="000224B3" w:rsidRDefault="000224B3">
      <w:pPr>
        <w:ind w:right="992"/>
        <w:jc w:val="center"/>
        <w:rPr>
          <w:b/>
          <w:sz w:val="24"/>
          <w:lang w:val="en-GB"/>
        </w:rPr>
      </w:pPr>
      <w:r>
        <w:rPr>
          <w:b/>
          <w:sz w:val="24"/>
          <w:lang w:val="en-GB"/>
        </w:rPr>
        <w:t>2. ARABIAN SEAS INSURANCES CO. LTD.,</w:t>
      </w:r>
    </w:p>
    <w:p w:rsidR="000224B3" w:rsidRDefault="000224B3">
      <w:pPr>
        <w:ind w:right="992"/>
        <w:jc w:val="center"/>
        <w:rPr>
          <w:b/>
          <w:sz w:val="24"/>
          <w:lang w:val="en-GB"/>
        </w:rPr>
      </w:pPr>
    </w:p>
    <w:p w:rsidR="000224B3" w:rsidRDefault="000224B3">
      <w:pPr>
        <w:ind w:right="992"/>
        <w:jc w:val="right"/>
        <w:rPr>
          <w:i/>
          <w:sz w:val="24"/>
          <w:lang w:val="en-GB"/>
        </w:rPr>
      </w:pPr>
      <w:r>
        <w:rPr>
          <w:i/>
          <w:sz w:val="24"/>
          <w:lang w:val="en-GB"/>
        </w:rPr>
        <w:t>Plaintiffs,</w:t>
      </w:r>
    </w:p>
    <w:p w:rsidR="000224B3" w:rsidRDefault="000224B3">
      <w:pPr>
        <w:ind w:right="992"/>
        <w:jc w:val="right"/>
        <w:rPr>
          <w:i/>
          <w:sz w:val="24"/>
          <w:lang w:val="en-GB"/>
        </w:rPr>
      </w:pPr>
    </w:p>
    <w:p w:rsidR="000224B3" w:rsidRDefault="000224B3">
      <w:pPr>
        <w:ind w:right="992"/>
        <w:jc w:val="center"/>
        <w:rPr>
          <w:i/>
          <w:sz w:val="24"/>
          <w:lang w:val="en-GB"/>
        </w:rPr>
      </w:pPr>
      <w:r>
        <w:rPr>
          <w:i/>
          <w:sz w:val="24"/>
          <w:lang w:val="en-GB"/>
        </w:rPr>
        <w:t>v.</w:t>
      </w:r>
    </w:p>
    <w:p w:rsidR="000224B3" w:rsidRDefault="000224B3">
      <w:pPr>
        <w:ind w:right="992"/>
        <w:jc w:val="center"/>
        <w:rPr>
          <w:i/>
          <w:sz w:val="24"/>
          <w:lang w:val="en-GB"/>
        </w:rPr>
      </w:pPr>
    </w:p>
    <w:p w:rsidR="000224B3" w:rsidRDefault="000224B3">
      <w:pPr>
        <w:ind w:right="992"/>
        <w:jc w:val="center"/>
        <w:rPr>
          <w:b/>
          <w:sz w:val="24"/>
          <w:lang w:val="en-GB"/>
        </w:rPr>
      </w:pPr>
      <w:r>
        <w:rPr>
          <w:b/>
          <w:sz w:val="24"/>
          <w:lang w:val="en-GB"/>
        </w:rPr>
        <w:t>SELIA SHIPPING CO. LTD.,</w:t>
      </w:r>
    </w:p>
    <w:p w:rsidR="000224B3" w:rsidRDefault="000224B3">
      <w:pPr>
        <w:ind w:right="992"/>
        <w:jc w:val="center"/>
        <w:rPr>
          <w:b/>
          <w:sz w:val="24"/>
          <w:lang w:val="en-GB"/>
        </w:rPr>
      </w:pPr>
    </w:p>
    <w:p w:rsidR="000224B3" w:rsidRDefault="000224B3">
      <w:pPr>
        <w:ind w:right="992"/>
        <w:jc w:val="right"/>
        <w:rPr>
          <w:i/>
          <w:sz w:val="24"/>
          <w:lang w:val="en-GB"/>
        </w:rPr>
      </w:pPr>
      <w:r>
        <w:rPr>
          <w:i/>
          <w:sz w:val="24"/>
          <w:lang w:val="en-GB"/>
        </w:rPr>
        <w:t>Defendant.</w:t>
      </w:r>
    </w:p>
    <w:p w:rsidR="000224B3" w:rsidRDefault="000224B3">
      <w:pPr>
        <w:ind w:right="992"/>
        <w:jc w:val="right"/>
        <w:rPr>
          <w:i/>
          <w:sz w:val="24"/>
          <w:lang w:val="en-GB"/>
        </w:rPr>
      </w:pPr>
    </w:p>
    <w:p w:rsidR="000224B3" w:rsidRDefault="000224B3">
      <w:pPr>
        <w:ind w:right="992"/>
        <w:jc w:val="right"/>
        <w:rPr>
          <w:i/>
          <w:sz w:val="24"/>
          <w:lang w:val="en-GB"/>
        </w:rPr>
      </w:pPr>
      <w:r>
        <w:rPr>
          <w:i/>
          <w:sz w:val="24"/>
          <w:lang w:val="en-GB"/>
        </w:rPr>
        <w:t>(Admiralty Action No. 104/76).</w:t>
      </w:r>
    </w:p>
    <w:p w:rsidR="000224B3" w:rsidRDefault="000224B3">
      <w:pPr>
        <w:ind w:right="992"/>
        <w:jc w:val="right"/>
        <w:rPr>
          <w:i/>
          <w:sz w:val="24"/>
          <w:lang w:val="en-GB"/>
        </w:rPr>
      </w:pPr>
    </w:p>
    <w:p w:rsidR="000224B3" w:rsidRDefault="000224B3">
      <w:pPr>
        <w:pStyle w:val="3Keywords"/>
        <w:ind w:right="992"/>
      </w:pPr>
      <w:r>
        <w:t>Admiralty — Practice — Contract for carriage of goods by sea— Breach of — Insurers paying the damages resulting therefrom to the owner of the goods — And latter subrogating his rights to the insurers — Insurer rightly joined as a party to the action against the carriers—Rules 30 and 31 of the Cyprus Admiralty Jurisdiction Order, 1893.</w:t>
      </w:r>
    </w:p>
    <w:p w:rsidR="000224B3" w:rsidRDefault="000224B3">
      <w:pPr>
        <w:pStyle w:val="3Keywords"/>
        <w:ind w:right="992"/>
      </w:pPr>
    </w:p>
    <w:p w:rsidR="000224B3" w:rsidRDefault="000224B3">
      <w:pPr>
        <w:pStyle w:val="4Abstract"/>
        <w:ind w:right="992"/>
      </w:pPr>
      <w:r>
        <w:t>The plaintiffs in this case claimed damages for breach of contract of carriage of goods. Plaintiff No. 2 was the insurance company which covered the shipment in question and paid to plaintiff No. 1 the sum of U.S. dollars 42,544.91c. as damages which resulted from the alleged breach by the defendant of the contract of carnage; and plaintiff No. 1 subrogated its rights to plaintiff No. 2.</w:t>
      </w:r>
    </w:p>
    <w:p w:rsidR="000224B3" w:rsidRDefault="000224B3">
      <w:pPr>
        <w:pStyle w:val="4Abstract"/>
        <w:ind w:right="992"/>
      </w:pPr>
    </w:p>
    <w:p w:rsidR="000224B3" w:rsidRDefault="000224B3">
      <w:pPr>
        <w:pStyle w:val="4Abstract"/>
        <w:ind w:right="992"/>
        <w:rPr>
          <w:i/>
        </w:rPr>
      </w:pPr>
      <w:r>
        <w:rPr>
          <w:i/>
        </w:rPr>
        <w:t>Upon an application by defendants for an order of the Court dismissing the action brought by plaintiff No. 2 as the petition disclosed no cause of action by this plaintiff:</w:t>
      </w:r>
    </w:p>
    <w:p w:rsidR="000224B3" w:rsidRDefault="000224B3">
      <w:pPr>
        <w:pStyle w:val="4Abstract"/>
        <w:ind w:right="992"/>
        <w:rPr>
          <w:i/>
        </w:rPr>
      </w:pPr>
    </w:p>
    <w:p w:rsidR="000224B3" w:rsidRDefault="000224B3">
      <w:pPr>
        <w:pStyle w:val="4Abstract"/>
        <w:ind w:right="992"/>
      </w:pPr>
      <w:r>
        <w:rPr>
          <w:i/>
        </w:rPr>
        <w:t>Held</w:t>
      </w:r>
      <w:r>
        <w:t>, chat an insurer shall be deemed to be a person interested in the action; and that, therefore, the insurer was rightly joined as s party to the action; accordingly the application must fail. (See rules 30, 31 of the Cyprus Admiralty Jurisdiction Order, 1893).</w:t>
      </w:r>
    </w:p>
    <w:p w:rsidR="000224B3" w:rsidRDefault="000224B3">
      <w:pPr>
        <w:pStyle w:val="4Abstract"/>
        <w:ind w:right="992"/>
      </w:pPr>
    </w:p>
    <w:p w:rsidR="000224B3" w:rsidRDefault="000224B3">
      <w:pPr>
        <w:pStyle w:val="4Abstract"/>
        <w:ind w:right="992"/>
        <w:jc w:val="right"/>
        <w:rPr>
          <w:i/>
        </w:rPr>
      </w:pPr>
      <w:r>
        <w:rPr>
          <w:i/>
        </w:rPr>
        <w:t>Application dismissed.</w:t>
      </w:r>
    </w:p>
    <w:p w:rsidR="000224B3" w:rsidRDefault="000224B3">
      <w:pPr>
        <w:pStyle w:val="4Abstract"/>
        <w:ind w:right="992"/>
        <w:rPr>
          <w:i/>
        </w:rPr>
      </w:pPr>
    </w:p>
    <w:p w:rsidR="000224B3" w:rsidRDefault="000224B3">
      <w:pPr>
        <w:pStyle w:val="PageNumber"/>
        <w:ind w:right="992"/>
      </w:pPr>
      <w:r>
        <w:t>6</w:t>
      </w:r>
    </w:p>
    <w:p w:rsidR="000224B3" w:rsidRDefault="000224B3">
      <w:pPr>
        <w:pStyle w:val="PageNumber"/>
        <w:ind w:right="992"/>
      </w:pPr>
    </w:p>
    <w:p w:rsidR="000224B3" w:rsidRDefault="000224B3">
      <w:pPr>
        <w:ind w:right="992"/>
        <w:jc w:val="both"/>
        <w:rPr>
          <w:b/>
          <w:sz w:val="24"/>
          <w:lang w:val="en-GB"/>
        </w:rPr>
      </w:pPr>
      <w:r>
        <w:rPr>
          <w:b/>
          <w:sz w:val="24"/>
          <w:lang w:val="en-GB"/>
        </w:rPr>
        <w:t>Application.</w:t>
      </w:r>
    </w:p>
    <w:p w:rsidR="000224B3" w:rsidRDefault="000224B3">
      <w:pPr>
        <w:ind w:right="992"/>
        <w:jc w:val="both"/>
        <w:rPr>
          <w:b/>
          <w:sz w:val="24"/>
          <w:lang w:val="en-GB"/>
        </w:rPr>
      </w:pPr>
    </w:p>
    <w:p w:rsidR="000224B3" w:rsidRDefault="000224B3">
      <w:pPr>
        <w:ind w:right="992"/>
        <w:jc w:val="both"/>
        <w:rPr>
          <w:sz w:val="24"/>
          <w:lang w:val="en-GB"/>
        </w:rPr>
      </w:pPr>
      <w:r>
        <w:rPr>
          <w:sz w:val="24"/>
          <w:lang w:val="en-GB"/>
        </w:rPr>
        <w:t>Application by defendant for an order of the Court dismissing the action brought by plaintiff No. 2 against the defendant.</w:t>
      </w:r>
    </w:p>
    <w:p w:rsidR="000224B3" w:rsidRDefault="000224B3">
      <w:pPr>
        <w:ind w:right="992"/>
        <w:jc w:val="both"/>
        <w:rPr>
          <w:sz w:val="24"/>
          <w:lang w:val="en-GB"/>
        </w:rPr>
      </w:pPr>
    </w:p>
    <w:p w:rsidR="000224B3" w:rsidRDefault="000224B3">
      <w:pPr>
        <w:ind w:right="992"/>
        <w:jc w:val="both"/>
        <w:rPr>
          <w:sz w:val="24"/>
          <w:lang w:val="en-GB"/>
        </w:rPr>
      </w:pPr>
      <w:r>
        <w:rPr>
          <w:i/>
          <w:sz w:val="24"/>
          <w:lang w:val="en-GB"/>
        </w:rPr>
        <w:t>M. Vassiliou</w:t>
      </w:r>
      <w:r>
        <w:rPr>
          <w:sz w:val="24"/>
          <w:lang w:val="en-GB"/>
        </w:rPr>
        <w:t>, for applicant.</w:t>
      </w:r>
    </w:p>
    <w:p w:rsidR="000224B3" w:rsidRDefault="000224B3">
      <w:pPr>
        <w:ind w:right="992"/>
        <w:jc w:val="both"/>
        <w:rPr>
          <w:sz w:val="24"/>
          <w:lang w:val="en-GB"/>
        </w:rPr>
      </w:pPr>
    </w:p>
    <w:p w:rsidR="000224B3" w:rsidRDefault="000224B3">
      <w:pPr>
        <w:ind w:right="992"/>
        <w:jc w:val="both"/>
        <w:rPr>
          <w:sz w:val="24"/>
          <w:lang w:val="en-GB"/>
        </w:rPr>
      </w:pPr>
      <w:r>
        <w:rPr>
          <w:i/>
          <w:sz w:val="24"/>
          <w:lang w:val="en-GB"/>
        </w:rPr>
        <w:t>C. HadjiIoannou</w:t>
      </w:r>
      <w:r>
        <w:rPr>
          <w:sz w:val="24"/>
          <w:lang w:val="en-GB"/>
        </w:rPr>
        <w:t>, for respondent.</w:t>
      </w:r>
    </w:p>
    <w:p w:rsidR="000224B3" w:rsidRDefault="000224B3">
      <w:pPr>
        <w:ind w:right="992"/>
        <w:jc w:val="both"/>
        <w:rPr>
          <w:sz w:val="24"/>
          <w:lang w:val="en-GB"/>
        </w:rPr>
      </w:pPr>
    </w:p>
    <w:p w:rsidR="000224B3" w:rsidRDefault="000224B3">
      <w:pPr>
        <w:ind w:right="992"/>
        <w:jc w:val="right"/>
        <w:rPr>
          <w:i/>
          <w:sz w:val="24"/>
          <w:lang w:val="en-GB"/>
        </w:rPr>
      </w:pPr>
      <w:r>
        <w:rPr>
          <w:i/>
          <w:sz w:val="24"/>
          <w:lang w:val="en-GB"/>
        </w:rPr>
        <w:t>Cur. adv. vult.</w:t>
      </w:r>
    </w:p>
    <w:p w:rsidR="000224B3" w:rsidRDefault="000224B3">
      <w:pPr>
        <w:ind w:right="992"/>
        <w:jc w:val="both"/>
        <w:rPr>
          <w:i/>
          <w:sz w:val="24"/>
          <w:lang w:val="en-GB"/>
        </w:rPr>
      </w:pPr>
    </w:p>
    <w:p w:rsidR="000224B3" w:rsidRDefault="000224B3">
      <w:pPr>
        <w:ind w:right="992"/>
        <w:jc w:val="both"/>
        <w:rPr>
          <w:sz w:val="24"/>
          <w:lang w:val="en-GB"/>
        </w:rPr>
      </w:pPr>
      <w:r>
        <w:rPr>
          <w:sz w:val="24"/>
          <w:lang w:val="en-GB"/>
        </w:rPr>
        <w:t xml:space="preserve">MALACHTOS J. read the following judgment. At this stage of the proceedings, in this Admiralty Action, we are concerned with an application filed on behalf of the Defendant </w:t>
      </w:r>
      <w:r>
        <w:rPr>
          <w:sz w:val="24"/>
          <w:lang w:val="en-GB"/>
        </w:rPr>
        <w:lastRenderedPageBreak/>
        <w:t>company praying for an Order of the Court dismissing the action brought by plaintiff No. 2, the Arabian Seas Insurance Co. Ltd., as the petition discloses no cause of action by this plaintiff and/or the petition and action is an abuse of the process of the Court.</w:t>
      </w:r>
    </w:p>
    <w:p w:rsidR="000224B3" w:rsidRDefault="000224B3">
      <w:pPr>
        <w:ind w:right="992"/>
        <w:jc w:val="both"/>
        <w:rPr>
          <w:sz w:val="24"/>
          <w:lang w:val="en-GB"/>
        </w:rPr>
      </w:pPr>
    </w:p>
    <w:p w:rsidR="000224B3" w:rsidRDefault="000224B3">
      <w:pPr>
        <w:ind w:right="992"/>
        <w:jc w:val="both"/>
        <w:rPr>
          <w:sz w:val="24"/>
          <w:lang w:val="en-GB"/>
        </w:rPr>
      </w:pPr>
      <w:r>
        <w:rPr>
          <w:sz w:val="24"/>
          <w:lang w:val="en-GB"/>
        </w:rPr>
        <w:t>The application, as stated therein, is based on the Cyprus Admiralty Jurisdiction Order, 1893, rules 203 - 212 and 237 and the inherent powers of the Court.</w:t>
      </w:r>
    </w:p>
    <w:p w:rsidR="000224B3" w:rsidRDefault="000224B3">
      <w:pPr>
        <w:ind w:right="992"/>
        <w:jc w:val="both"/>
        <w:rPr>
          <w:sz w:val="24"/>
          <w:lang w:val="en-GB"/>
        </w:rPr>
      </w:pPr>
    </w:p>
    <w:p w:rsidR="000224B3" w:rsidRDefault="000224B3">
      <w:pPr>
        <w:ind w:right="992"/>
        <w:jc w:val="both"/>
        <w:rPr>
          <w:sz w:val="24"/>
          <w:lang w:val="en-GB"/>
        </w:rPr>
      </w:pPr>
      <w:r>
        <w:rPr>
          <w:sz w:val="24"/>
          <w:lang w:val="en-GB"/>
        </w:rPr>
        <w:t>In the affidavit in support of the application it is alleged that plaintiff No. 2 has no locus standi in the proceedings, even if all the facts contained in the petition were true and correct and for the purposes of this application, the defendant company conceded that the Court should proceed on the assumption that the facts contained in the petition were proved or admitted. In the amended petition, which was filed on behalf of the plaintiffs, it is stated that the defendant, a company registered in Cyprus</w:t>
      </w:r>
      <w:r>
        <w:rPr>
          <w:sz w:val="24"/>
          <w:lang w:val="en-GB"/>
        </w:rPr>
        <w:t xml:space="preserve"> as owners of the ship S/S "MARGARITA TWO" flying the Cyprus flag, undertook in June, 1975, by a contract of carriage evidenced by three bills of lading, to carry from Constanza to Tartous a number of bundles of Romanian hardboards. Later on, on the instructions of plaintiff No. 1, for whom the said cargo was to be carried as above, the defendant earned and discharged the cargo at the port of Aqaba instead of Tartous under the same terms and conditions but on an agreed increased freight. Out of the  above</w:t>
      </w:r>
    </w:p>
    <w:p w:rsidR="000224B3" w:rsidRDefault="000224B3">
      <w:pPr>
        <w:ind w:right="992"/>
        <w:jc w:val="both"/>
        <w:rPr>
          <w:sz w:val="24"/>
          <w:lang w:val="en-GB"/>
        </w:rPr>
      </w:pPr>
    </w:p>
    <w:p w:rsidR="000224B3" w:rsidRDefault="000224B3">
      <w:pPr>
        <w:pStyle w:val="PageNumber"/>
        <w:ind w:right="992"/>
      </w:pPr>
      <w:r>
        <w:t>7</w:t>
      </w:r>
    </w:p>
    <w:p w:rsidR="000224B3" w:rsidRDefault="000224B3">
      <w:pPr>
        <w:pStyle w:val="PageNumber"/>
        <w:ind w:right="992"/>
      </w:pPr>
    </w:p>
    <w:p w:rsidR="000224B3" w:rsidRDefault="000224B3">
      <w:pPr>
        <w:ind w:right="992"/>
        <w:jc w:val="both"/>
        <w:rPr>
          <w:sz w:val="24"/>
          <w:lang w:val="en-GB"/>
        </w:rPr>
      </w:pPr>
      <w:r>
        <w:rPr>
          <w:sz w:val="24"/>
          <w:lang w:val="en-GB"/>
        </w:rPr>
        <w:t>shipment in breach of the said contract of carnage when the ship arrived at the port of Aqaba on 7th July, 1975, and on discharge of the cargo, it was found out that it was short landed.</w:t>
      </w:r>
    </w:p>
    <w:p w:rsidR="000224B3" w:rsidRDefault="000224B3">
      <w:pPr>
        <w:ind w:right="992"/>
        <w:jc w:val="both"/>
        <w:rPr>
          <w:sz w:val="24"/>
          <w:lang w:val="en-GB"/>
        </w:rPr>
      </w:pPr>
    </w:p>
    <w:p w:rsidR="000224B3" w:rsidRDefault="000224B3">
      <w:pPr>
        <w:ind w:right="992"/>
        <w:jc w:val="both"/>
        <w:rPr>
          <w:sz w:val="24"/>
          <w:lang w:val="en-GB"/>
        </w:rPr>
      </w:pPr>
      <w:r>
        <w:rPr>
          <w:sz w:val="24"/>
          <w:lang w:val="en-GB"/>
        </w:rPr>
        <w:t>Plaintiff No. 2, who is the Insurance company which covered the above shipment, paid to plaintiff No. 1 the sum of US $42,544.91c. as damages which resulted from the alleged breach by the defendant of the aforesaid contract of carnage and plaintif No. 1 subrogated its rights to plaintiff No. 2</w:t>
      </w:r>
    </w:p>
    <w:p w:rsidR="000224B3" w:rsidRDefault="000224B3">
      <w:pPr>
        <w:ind w:right="992"/>
        <w:jc w:val="both"/>
        <w:rPr>
          <w:sz w:val="24"/>
          <w:lang w:val="en-GB"/>
        </w:rPr>
      </w:pPr>
    </w:p>
    <w:p w:rsidR="000224B3" w:rsidRDefault="000224B3">
      <w:pPr>
        <w:ind w:right="992"/>
        <w:jc w:val="both"/>
        <w:rPr>
          <w:sz w:val="24"/>
          <w:lang w:val="en-GB"/>
        </w:rPr>
      </w:pPr>
      <w:r>
        <w:rPr>
          <w:sz w:val="24"/>
          <w:lang w:val="en-GB"/>
        </w:rPr>
        <w:t>As it appears from the affidavit in support of the application and the arguments put forward by counsel for applicant before me, his case is that plaintiff No. 2 was wrongly joined as a party to the action. He based his application on the Cyprus Admiralty Jurisdiction Order 1893, rules 203 - 212, which prescribe the procedure for making applications in general and rule 237 which provides that:</w:t>
      </w:r>
    </w:p>
    <w:p w:rsidR="000224B3" w:rsidRDefault="000224B3">
      <w:pPr>
        <w:ind w:right="992"/>
        <w:jc w:val="both"/>
        <w:rPr>
          <w:sz w:val="24"/>
          <w:lang w:val="en-GB"/>
        </w:rPr>
      </w:pPr>
    </w:p>
    <w:p w:rsidR="000224B3" w:rsidRDefault="000224B3">
      <w:pPr>
        <w:ind w:right="992"/>
        <w:jc w:val="both"/>
        <w:rPr>
          <w:sz w:val="24"/>
          <w:lang w:val="en-GB"/>
        </w:rPr>
      </w:pPr>
      <w:r>
        <w:rPr>
          <w:sz w:val="24"/>
          <w:lang w:val="en-GB"/>
        </w:rPr>
        <w:t>"In all cases not provided by these Rules, the Practice of the Admiralty Division of the High Court of Justice in England, so far as the same shall appear to be applicable, shall be followed".</w:t>
      </w:r>
    </w:p>
    <w:p w:rsidR="000224B3" w:rsidRDefault="000224B3">
      <w:pPr>
        <w:ind w:right="992"/>
        <w:jc w:val="both"/>
        <w:rPr>
          <w:sz w:val="24"/>
          <w:lang w:val="en-GB"/>
        </w:rPr>
      </w:pPr>
    </w:p>
    <w:p w:rsidR="000224B3" w:rsidRDefault="000224B3">
      <w:pPr>
        <w:ind w:right="992"/>
        <w:jc w:val="both"/>
        <w:rPr>
          <w:sz w:val="24"/>
          <w:lang w:val="en-GB"/>
        </w:rPr>
      </w:pPr>
      <w:r>
        <w:rPr>
          <w:sz w:val="24"/>
          <w:lang w:val="en-GB"/>
        </w:rPr>
        <w:t>Obviously, counsel for the applicant did not have in mind rules 30 and 31. These Rules read as follows:</w:t>
      </w:r>
    </w:p>
    <w:p w:rsidR="000224B3" w:rsidRDefault="000224B3">
      <w:pPr>
        <w:ind w:right="992"/>
        <w:jc w:val="both"/>
        <w:rPr>
          <w:sz w:val="24"/>
          <w:lang w:val="en-GB"/>
        </w:rPr>
      </w:pPr>
    </w:p>
    <w:p w:rsidR="000224B3" w:rsidRDefault="000224B3">
      <w:pPr>
        <w:ind w:right="992"/>
        <w:jc w:val="both"/>
        <w:rPr>
          <w:sz w:val="24"/>
          <w:lang w:val="en-GB"/>
        </w:rPr>
      </w:pPr>
      <w:r>
        <w:rPr>
          <w:sz w:val="24"/>
          <w:lang w:val="en-GB"/>
        </w:rPr>
        <w:t xml:space="preserve">"30. The Court or Judge may at any stage of the proceedings and either with or without an application for that purpose being made by any party or person and upon such terms as shall seen just, order that the name or names of any party or parties be struck out or that the names of any person or persons who are interested in the action or who ought to have been joined either as Plaintiffs or Defendants or whose presence, before the Court is necessary in order to enable the Court effectually and completely to </w:t>
      </w:r>
      <w:r>
        <w:rPr>
          <w:sz w:val="24"/>
          <w:lang w:val="en-GB"/>
        </w:rPr>
        <w:t>adjudicate upon and settle all questions involved in the action be added.</w:t>
      </w:r>
    </w:p>
    <w:p w:rsidR="000224B3" w:rsidRDefault="000224B3">
      <w:pPr>
        <w:ind w:right="992"/>
        <w:jc w:val="both"/>
        <w:rPr>
          <w:sz w:val="24"/>
          <w:lang w:val="en-GB"/>
        </w:rPr>
      </w:pPr>
    </w:p>
    <w:p w:rsidR="000224B3" w:rsidRDefault="000224B3">
      <w:pPr>
        <w:pStyle w:val="PageNumber"/>
        <w:ind w:right="992"/>
      </w:pPr>
      <w:r>
        <w:t>8</w:t>
      </w:r>
    </w:p>
    <w:p w:rsidR="000224B3" w:rsidRDefault="000224B3">
      <w:pPr>
        <w:pStyle w:val="PageNumber"/>
        <w:ind w:right="992"/>
      </w:pPr>
    </w:p>
    <w:p w:rsidR="000224B3" w:rsidRDefault="000224B3">
      <w:pPr>
        <w:ind w:right="992"/>
        <w:jc w:val="both"/>
        <w:rPr>
          <w:sz w:val="24"/>
          <w:lang w:val="en-GB"/>
        </w:rPr>
      </w:pPr>
      <w:r>
        <w:rPr>
          <w:sz w:val="24"/>
          <w:lang w:val="en-GB"/>
        </w:rPr>
        <w:t>31. For the purposes of the last preceding rule an underwriter or insurer shall be deemed to be a person interested in the action".</w:t>
      </w:r>
    </w:p>
    <w:p w:rsidR="000224B3" w:rsidRDefault="000224B3">
      <w:pPr>
        <w:ind w:right="992"/>
        <w:jc w:val="both"/>
        <w:rPr>
          <w:sz w:val="24"/>
          <w:lang w:val="en-GB"/>
        </w:rPr>
      </w:pPr>
    </w:p>
    <w:p w:rsidR="000224B3" w:rsidRDefault="000224B3">
      <w:pPr>
        <w:ind w:right="992"/>
        <w:jc w:val="both"/>
        <w:rPr>
          <w:sz w:val="24"/>
          <w:lang w:val="en-GB"/>
        </w:rPr>
      </w:pPr>
      <w:r>
        <w:rPr>
          <w:sz w:val="24"/>
          <w:lang w:val="en-GB"/>
        </w:rPr>
        <w:t>It is clear from the facts of the present case, appearing in the petition and the provisions of rule 31 that plaintiff No. 2 was rightly joined as a party to the action.</w:t>
      </w:r>
    </w:p>
    <w:p w:rsidR="000224B3" w:rsidRDefault="000224B3">
      <w:pPr>
        <w:ind w:right="992"/>
        <w:jc w:val="both"/>
        <w:rPr>
          <w:sz w:val="24"/>
          <w:lang w:val="en-GB"/>
        </w:rPr>
      </w:pPr>
    </w:p>
    <w:p w:rsidR="000224B3" w:rsidRDefault="000224B3">
      <w:pPr>
        <w:ind w:right="992"/>
        <w:jc w:val="both"/>
        <w:rPr>
          <w:sz w:val="24"/>
          <w:lang w:val="en-GB"/>
        </w:rPr>
      </w:pPr>
      <w:r>
        <w:rPr>
          <w:sz w:val="24"/>
          <w:lang w:val="en-GB"/>
        </w:rPr>
        <w:t>Therefore, the application of the defendant company is dismissed, with costs.</w:t>
      </w:r>
    </w:p>
    <w:p w:rsidR="000224B3" w:rsidRDefault="000224B3">
      <w:pPr>
        <w:ind w:right="992"/>
        <w:jc w:val="both"/>
        <w:rPr>
          <w:sz w:val="24"/>
          <w:lang w:val="en-GB"/>
        </w:rPr>
      </w:pPr>
    </w:p>
    <w:p w:rsidR="000224B3" w:rsidRDefault="000224B3">
      <w:pPr>
        <w:ind w:right="992"/>
        <w:jc w:val="right"/>
        <w:rPr>
          <w:i/>
          <w:sz w:val="24"/>
          <w:lang w:val="en-GB"/>
        </w:rPr>
      </w:pPr>
      <w:r>
        <w:rPr>
          <w:i/>
          <w:sz w:val="24"/>
          <w:lang w:val="en-GB"/>
        </w:rPr>
        <w:t>Application dismissed with costs.</w:t>
      </w:r>
    </w:p>
    <w:p w:rsidR="000224B3" w:rsidRDefault="000224B3">
      <w:pPr>
        <w:ind w:right="992"/>
        <w:jc w:val="both"/>
        <w:rPr>
          <w:i/>
          <w:sz w:val="24"/>
          <w:lang w:val="en-GB"/>
        </w:rPr>
      </w:pPr>
    </w:p>
    <w:p w:rsidR="000224B3" w:rsidRDefault="000224B3">
      <w:pPr>
        <w:ind w:right="992"/>
      </w:pPr>
    </w:p>
    <w:sectPr w:rsidR="00000000">
      <w:pgSz w:w="11905" w:h="16837"/>
      <w:pgMar w:top="709" w:right="1134" w:bottom="709"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8D7F9F"/>
    <w:multiLevelType w:val="singleLevel"/>
    <w:tmpl w:val="0409000F"/>
    <w:lvl w:ilvl="0">
      <w:start w:val="1"/>
      <w:numFmt w:val="decimal"/>
      <w:lvlText w:val="%1."/>
      <w:lvlJc w:val="left"/>
      <w:pPr>
        <w:tabs>
          <w:tab w:val="num" w:pos="360"/>
        </w:tabs>
        <w:ind w:left="360" w:hanging="360"/>
      </w:pPr>
      <w:rPr>
        <w:rFonts w:hint="default"/>
      </w:rPr>
    </w:lvl>
  </w:abstractNum>
  <w:num w:numId="1" w16cid:durableId="170491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24B3"/>
    <w:rsid w:val="000224B3"/>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A7FC794-0679-4D3F-87DF-BC1F2987A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CY" w:eastAsia="en-C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Judges">
    <w:name w:val="1 Judges"/>
    <w:basedOn w:val="Normal"/>
    <w:pPr>
      <w:jc w:val="center"/>
    </w:pPr>
    <w:rPr>
      <w:snapToGrid w:val="0"/>
      <w:sz w:val="24"/>
      <w:lang w:eastAsia="en-US"/>
    </w:rPr>
  </w:style>
  <w:style w:type="paragraph" w:customStyle="1" w:styleId="3Keywords">
    <w:name w:val="3 Keywords"/>
    <w:basedOn w:val="Normal"/>
    <w:pPr>
      <w:jc w:val="both"/>
    </w:pPr>
    <w:rPr>
      <w:i/>
      <w:snapToGrid w:val="0"/>
      <w:sz w:val="24"/>
      <w:lang w:val="en-GB" w:eastAsia="en-US"/>
    </w:rPr>
  </w:style>
  <w:style w:type="paragraph" w:customStyle="1" w:styleId="4Abstract">
    <w:name w:val="4 Abstract"/>
    <w:basedOn w:val="Normal"/>
    <w:pPr>
      <w:jc w:val="both"/>
    </w:pPr>
    <w:rPr>
      <w:snapToGrid w:val="0"/>
      <w:sz w:val="24"/>
      <w:lang w:val="en-GB" w:eastAsia="en-US"/>
    </w:rPr>
  </w:style>
  <w:style w:type="paragraph" w:customStyle="1" w:styleId="PageNumber">
    <w:name w:val="PageNumber"/>
    <w:basedOn w:val="Normal"/>
    <w:pPr>
      <w:jc w:val="center"/>
    </w:pPr>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5</vt:lpstr>
    </vt:vector>
  </TitlesOfParts>
  <Company>skordisk</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dc:title>
  <dc:subject/>
  <dc:creator>glisa</dc:creator>
  <cp:keywords/>
  <cp:lastModifiedBy>raphael.panayi@outlook.com</cp:lastModifiedBy>
  <cp:revision>2</cp:revision>
  <dcterms:created xsi:type="dcterms:W3CDTF">2024-03-31T20:54:00Z</dcterms:created>
  <dcterms:modified xsi:type="dcterms:W3CDTF">2024-03-31T20:54:00Z</dcterms:modified>
</cp:coreProperties>
</file>