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jc w:val="center"/>
      </w:pPr>
      <w:r>
        <w:rPr>
          <w:b/>
        </w:rPr>
        <w:t>Реферат</w:t>
      </w:r>
    </w:p>
    <w:p>
      <w:pPr>
        <w:spacing w:line="360" w:lineRule="auto" w:after="0" w:before="0"/>
        <w:jc w:val="center"/>
      </w:pPr>
      <w:r>
        <w:rPr>
          <w:b w:val="0"/>
        </w:rPr>
        <w:t>Организация закупок в сфере IT (2025)</w:t>
      </w:r>
    </w:p>
    <w:p/>
    <w:p>
      <w:pPr>
        <w:spacing w:line="360" w:lineRule="auto" w:after="0" w:before="0"/>
        <w:jc w:val="center"/>
      </w:pPr>
      <w:r>
        <w:rPr>
          <w:b w:val="0"/>
        </w:rPr>
        <w:t>Дисциплина: Управление ИТ / ИТ-менеджмент</w:t>
      </w:r>
    </w:p>
    <w:p>
      <w:pPr>
        <w:spacing w:line="360" w:lineRule="auto" w:after="0" w:before="0"/>
        <w:jc w:val="center"/>
      </w:pPr>
      <w:r>
        <w:rPr>
          <w:b w:val="0"/>
        </w:rPr>
        <w:t>Студент: 4 курс, 20 лет</w:t>
      </w:r>
    </w:p>
    <w:p>
      <w:pPr>
        <w:spacing w:line="360" w:lineRule="auto" w:after="0" w:before="0"/>
        <w:jc w:val="center"/>
      </w:pPr>
      <w:r>
        <w:rPr>
          <w:b w:val="0"/>
        </w:rPr>
        <w:t>Город, 2025</w:t>
      </w:r>
    </w:p>
    <w:p>
      <w:r>
        <w:br w:type="page"/>
      </w:r>
    </w:p>
    <w:p>
      <w:pPr>
        <w:spacing w:line="360" w:lineRule="auto" w:after="0" w:before="0"/>
      </w:pPr>
      <w:r>
        <w:rPr>
          <w:b/>
        </w:rPr>
        <w:t>Введение</w:t>
      </w:r>
    </w:p>
    <w:p>
      <w:pPr>
        <w:spacing w:line="360" w:lineRule="auto" w:after="0" w:before="0"/>
      </w:pPr>
      <w:r>
        <w:rPr>
          <w:b w:val="0"/>
        </w:rPr>
        <w:t>Организация закупок в IT в 2025 году — это уже не просто «купить компьютеры и софт». Почти всё уехало в облака, сервисы стали подписками, в работу активно вошли модели ИИ, а требования к безопасности и устойчивости заметно выросли. Неправильно выстроенный процесс ведёт к vendor lock-in, переплатам, проблемам с комплаенсом и уязвимостям в цепочке поставок. В этом реферате я собрал практичный взгляд на то, как в 2025 году организовывать IT‑закупки — от жизненного цикла до контрактов и метрик.</w:t>
      </w:r>
    </w:p>
    <w:p>
      <w:pPr>
        <w:spacing w:line="360" w:lineRule="auto" w:after="120" w:before="240"/>
      </w:pPr>
      <w:r>
        <w:rPr>
          <w:b/>
        </w:rPr>
        <w:t>1. Что такое IT‑закупки и чем они отличаются</w:t>
      </w:r>
    </w:p>
    <w:p>
      <w:pPr>
        <w:spacing w:line="360" w:lineRule="auto" w:after="0" w:before="0"/>
      </w:pPr>
      <w:r>
        <w:rPr>
          <w:b w:val="0"/>
        </w:rPr>
        <w:t>IT‑закупки — это приобретение программного обеспечения (SaaS, on‑prem), облачных ресурсов (IaaS/PaaS), лицензий, оборудования (серверы, сети, ноутбуки), услуг интеграторов и поддержки. Ключевые отличия: подписки вместо «вечных» лицензий, повышенная значимость безопасности и приватности, быстрые циклы обновлений, архитектурные последствия выбора и акцент на совокупной стоимости владения (TCO), а не только на стартовой цене.</w:t>
      </w:r>
    </w:p>
    <w:p>
      <w:pPr>
        <w:spacing w:line="360" w:lineRule="auto" w:after="120" w:before="240"/>
      </w:pPr>
      <w:r>
        <w:rPr>
          <w:b/>
        </w:rPr>
        <w:t>2. Жизненный цикл закупки</w:t>
      </w:r>
    </w:p>
    <w:p>
      <w:pPr>
        <w:spacing w:line="360" w:lineRule="auto" w:after="0" w:before="0"/>
      </w:pPr>
      <w:r>
        <w:rPr>
          <w:b w:val="0"/>
        </w:rPr>
        <w:t>Инициация потребности → бизнес‑кейс → выбор процедуры (RFI/RFP/RFQ, тендер, каталог) → описание требований (функциональные и нефункциональные) → оценка поставщиков → договор и согласования → пилот/POC → внедрение → приёмка → эксплуатация и пересмотр. На каждом шаге фиксируются измеримые критерии и риски, отдельно — требования к данным и безопасности.</w:t>
      </w:r>
    </w:p>
    <w:p>
      <w:pPr>
        <w:spacing w:line="360" w:lineRule="auto" w:after="120" w:before="240"/>
      </w:pPr>
      <w:r>
        <w:rPr>
          <w:b/>
        </w:rPr>
        <w:t>3. Модели организации</w:t>
      </w:r>
    </w:p>
    <w:p>
      <w:pPr>
        <w:spacing w:line="360" w:lineRule="auto" w:after="0" w:before="0"/>
      </w:pPr>
      <w:r>
        <w:rPr>
          <w:b w:val="0"/>
        </w:rPr>
        <w:t>Централизованная модель даёт контроль и скидки, но медленнее. Децентрализованная — быстрее и ближе к нуждам команд, но рискует разнобоем и дублированием. В 2025 наиболее рабочий вариант — гибрид: центр компетенций задаёт стандарты, каталоги «разрешённых» решений и проводит сложные сделки; продуктовые команды делают типовые закупки быстро внутри рамок.</w:t>
      </w:r>
    </w:p>
    <w:p>
      <w:pPr>
        <w:spacing w:line="360" w:lineRule="auto" w:after="120" w:before="240"/>
      </w:pPr>
      <w:r>
        <w:rPr>
          <w:b/>
        </w:rPr>
        <w:t>4. Методы закупок</w:t>
      </w:r>
    </w:p>
    <w:p>
      <w:pPr>
        <w:spacing w:line="360" w:lineRule="auto" w:after="0" w:before="0"/>
      </w:pPr>
      <w:r>
        <w:rPr>
          <w:b w:val="0"/>
        </w:rPr>
        <w:t>RFI — чтобы понять рынок; RFP — когда нужна проработка архитектуры и безопасности; RFQ — при чётких спецификациях. Тендеры и аукционы повышают прозрачность, но иногда чрезмерно давят на цену в ущерб качеству. Каталоги и рамочные соглашения ускоряют типовые покупки. Маркеты облаков (AWS/Azure/GCP) упрощают оформление, но повышают риск lock‑in.</w:t>
      </w:r>
    </w:p>
    <w:p>
      <w:pPr>
        <w:spacing w:line="360" w:lineRule="auto" w:after="120" w:before="240"/>
      </w:pPr>
      <w:r>
        <w:rPr>
          <w:b/>
        </w:rPr>
        <w:t>5. Специфика 2025 года: облака, AI, безопасность, устойчивость</w:t>
      </w:r>
    </w:p>
    <w:p>
      <w:pPr>
        <w:spacing w:line="360" w:lineRule="auto" w:after="0" w:before="0"/>
      </w:pPr>
      <w:r>
        <w:rPr>
          <w:b w:val="0"/>
        </w:rPr>
        <w:t>Облака и FinOps стали «по умолчанию»: важнее предсказуемость и управляемость затрат, чем низкая стартовая цена. Для ИИ‑закупок действуют требования EU AI Act: проверка источников данных, управление рисками и объяснимость. Цепочки поставок требуют SBOM и практик безопасной разработки. Важны локация данных и юрисдикции, а также устойчивость (ESG): энергоэффективность, углеродный след, отчётность.</w:t>
      </w:r>
    </w:p>
    <w:p>
      <w:pPr>
        <w:spacing w:line="360" w:lineRule="auto" w:after="120" w:before="240"/>
      </w:pPr>
      <w:r>
        <w:rPr>
          <w:b/>
        </w:rPr>
        <w:t>6. Оценка поставщиков и рисков</w:t>
      </w:r>
    </w:p>
    <w:p>
      <w:pPr>
        <w:spacing w:line="360" w:lineRule="auto" w:after="0" w:before="0"/>
      </w:pPr>
      <w:r>
        <w:rPr>
          <w:b w:val="0"/>
        </w:rPr>
        <w:t>Безопасность и комплаенс: ISO/IEC 27001:2022, SOC 2 Type II, шифрование, SSO/MFA, Zero Trust, отчёты аудиторов, SBOM. Лицензии и IP: права на данные и модели, совместимость OSS‑лицензий, отсутствие «тёмных» зависимостей. Экономика: TCO (подписка, хранение, egress, администрирование, интеграции, обучение, миграции, SLA‑кредиты) и ROI. Lock‑in: экспорт данных в открытых форматах, API‑доступ, план выхода и оценка стоимости миграции.</w:t>
      </w:r>
    </w:p>
    <w:p>
      <w:pPr>
        <w:spacing w:line="360" w:lineRule="auto" w:after="120" w:before="240"/>
      </w:pPr>
      <w:r>
        <w:rPr>
          <w:b/>
        </w:rPr>
        <w:t>7. Контракты, SLA и SLO</w:t>
      </w:r>
    </w:p>
    <w:p>
      <w:pPr>
        <w:spacing w:line="360" w:lineRule="auto" w:after="0" w:before="0"/>
      </w:pPr>
      <w:r>
        <w:rPr>
          <w:b w:val="0"/>
        </w:rPr>
        <w:t>SLA: доступность, время реакции и восстановления, окна обновлений, поддержка 24/7, RTO/RPO. SLO и SLA‑кредиты — пороговые значения и механизм компенсаций. DPA — роли контролёра/процессора, местоположение данных и подобработчики. Для ИИ — запрет дообучения на клиентских данных, контроль датасетов, требования к объяснимости. Важно заранее согласовать индексацию цен и «выходную» стратегию.</w:t>
      </w:r>
    </w:p>
    <w:p>
      <w:pPr>
        <w:spacing w:line="360" w:lineRule="auto" w:after="120" w:before="240"/>
      </w:pPr>
      <w:r>
        <w:rPr>
          <w:b/>
        </w:rPr>
        <w:t>8. Инструменты и практики</w:t>
      </w:r>
    </w:p>
    <w:p>
      <w:pPr>
        <w:spacing w:line="360" w:lineRule="auto" w:after="0" w:before="0"/>
      </w:pPr>
      <w:r>
        <w:rPr>
          <w:b w:val="0"/>
        </w:rPr>
        <w:t>E‑procurement (Ariba, Coupa и аналоги), FinOps (теги, бюджеты, chargeback, резервации), SBOM (SPDX/CycloneDX), управление зависимостями и уязвимостями (SCA), зрелость цепочки поставок (SLSA), каталоги стандартных решений для быстрого и безопасного выбора.</w:t>
      </w:r>
    </w:p>
    <w:p>
      <w:pPr>
        <w:spacing w:line="360" w:lineRule="auto" w:after="120" w:before="240"/>
      </w:pPr>
      <w:r>
        <w:rPr>
          <w:b/>
        </w:rPr>
        <w:t>9. Нормативные аспекты (кратко)</w:t>
      </w:r>
    </w:p>
    <w:p>
      <w:pPr>
        <w:spacing w:line="360" w:lineRule="auto" w:after="0" w:before="0"/>
      </w:pPr>
      <w:r>
        <w:rPr>
          <w:b w:val="0"/>
        </w:rPr>
        <w:t>ЕС: EU AI Act (вступление с 2025), NIS2, GDPR, DORA (для финсектора). США: NIST AI RMF, SP 800‑53, SSDF (SP 800‑218), SOC 2. Россия (для госсектора): 44‑ФЗ и 223‑ФЗ, импортозамещение, требования к облакам и ПО. Корпоративные стандарты: ISO/IEC 27001:2022, ITIL 4, COBIT.</w:t>
      </w:r>
    </w:p>
    <w:p>
      <w:pPr>
        <w:spacing w:line="360" w:lineRule="auto" w:after="120" w:before="240"/>
      </w:pPr>
      <w:r>
        <w:rPr>
          <w:b/>
        </w:rPr>
        <w:t>Заключение</w:t>
      </w:r>
    </w:p>
    <w:p>
      <w:pPr>
        <w:spacing w:line="360" w:lineRule="auto" w:after="0" w:before="0"/>
      </w:pPr>
      <w:r>
        <w:rPr>
          <w:b w:val="0"/>
        </w:rPr>
        <w:t>Грамотная организация IT‑закупок — это баланс скорости и контроля. Лучший подход — гибридная модель: центр компетенций задаёт стандарты и проводит сложные сделки, а команды оперативно закупают типовые решения по «белым спискам». Особое внимание — ИИ‑сервисам (данные, риски, объяснимость) и стратегии выхода (экспорт данных и стоимость миграции). Цель — устойчивость, безопасность и предсказуемость затрат.</w:t>
      </w:r>
    </w:p>
    <w:p>
      <w:pPr>
        <w:spacing w:line="360" w:lineRule="auto" w:after="120" w:before="240"/>
      </w:pPr>
      <w:r>
        <w:rPr>
          <w:b/>
        </w:rPr>
        <w:t>Список источников</w:t>
      </w:r>
    </w:p>
    <w:p>
      <w:pPr>
        <w:spacing w:line="360" w:lineRule="auto" w:after="0" w:before="0"/>
      </w:pPr>
      <w:r>
        <w:rPr>
          <w:b w:val="0"/>
        </w:rPr>
        <w:t>- ISO/IEC 27001:2022 — официальный сайт ISO: https://www.iso.org/standard/27001</w:t>
      </w:r>
    </w:p>
    <w:p>
      <w:pPr>
        <w:spacing w:line="360" w:lineRule="auto" w:after="0" w:before="0"/>
      </w:pPr>
      <w:r>
        <w:rPr>
          <w:b w:val="0"/>
        </w:rPr>
        <w:t>- SOC 2 Trust Services Criteria — AICPA: https://www.aicpa.org/interestareas/frc/assuranceadvisoryservices/socforserviceorganizations.html</w:t>
      </w:r>
    </w:p>
    <w:p>
      <w:pPr>
        <w:spacing w:line="360" w:lineRule="auto" w:after="0" w:before="0"/>
      </w:pPr>
      <w:r>
        <w:rPr>
          <w:b w:val="0"/>
        </w:rPr>
        <w:t>- NIST AI Risk Management Framework (AI RMF 1.0): https://www.nist.gov/ai/rmf</w:t>
      </w:r>
    </w:p>
    <w:p>
      <w:pPr>
        <w:spacing w:line="360" w:lineRule="auto" w:after="0" w:before="0"/>
      </w:pPr>
      <w:r>
        <w:rPr>
          <w:b w:val="0"/>
        </w:rPr>
        <w:t>- NIST SP 800‑53 Rev. 5: https://csrc.nist.gov/publications/detail/sp/800-53/rev-5/final</w:t>
      </w:r>
    </w:p>
    <w:p>
      <w:pPr>
        <w:spacing w:line="360" w:lineRule="auto" w:after="0" w:before="0"/>
      </w:pPr>
      <w:r>
        <w:rPr>
          <w:b w:val="0"/>
        </w:rPr>
        <w:t>- NIST SP 800‑218 (SSDF): https://csrc.nist.gov/publications/detail/sp/800-218/final</w:t>
      </w:r>
    </w:p>
    <w:p>
      <w:pPr>
        <w:spacing w:line="360" w:lineRule="auto" w:after="0" w:before="0"/>
      </w:pPr>
      <w:r>
        <w:rPr>
          <w:b w:val="0"/>
        </w:rPr>
        <w:t>- EU AI Act — Еврокомиссия: https://digital-strategy.ec.europa.eu</w:t>
      </w:r>
    </w:p>
    <w:p>
      <w:pPr>
        <w:spacing w:line="360" w:lineRule="auto" w:after="0" w:before="0"/>
      </w:pPr>
      <w:r>
        <w:rPr>
          <w:b w:val="0"/>
        </w:rPr>
        <w:t>- Директива NIS2 — Еврокомиссия: https://digital-strategy.ec.europa.eu/en/policies/nis2-directive</w:t>
      </w:r>
    </w:p>
    <w:p>
      <w:pPr>
        <w:spacing w:line="360" w:lineRule="auto" w:after="0" w:before="0"/>
      </w:pPr>
      <w:r>
        <w:rPr>
          <w:b w:val="0"/>
        </w:rPr>
        <w:t>- DORA — ЕС: https://finance.ec.europa.eu/regulation-and-supervision/financial-services-legislation/digital-operational-resilience-act-dora_en</w:t>
      </w:r>
    </w:p>
    <w:p>
      <w:pPr>
        <w:spacing w:line="360" w:lineRule="auto" w:after="0" w:before="0"/>
      </w:pPr>
      <w:r>
        <w:rPr>
          <w:b w:val="0"/>
        </w:rPr>
        <w:t>- GDPR — Европейская комиссия: https://commission.europa.eu/law/law-topic/data-protection_en</w:t>
      </w:r>
    </w:p>
    <w:p>
      <w:pPr>
        <w:spacing w:line="360" w:lineRule="auto" w:after="0" w:before="0"/>
      </w:pPr>
      <w:r>
        <w:rPr>
          <w:b w:val="0"/>
        </w:rPr>
        <w:t>- FinOps Foundation: https://www.finops.org/</w:t>
      </w:r>
    </w:p>
    <w:p>
      <w:pPr>
        <w:spacing w:line="360" w:lineRule="auto" w:after="0" w:before="0"/>
      </w:pPr>
      <w:r>
        <w:rPr>
          <w:b w:val="0"/>
        </w:rPr>
        <w:t>- SPDX: https://spdx.dev/</w:t>
      </w:r>
    </w:p>
    <w:p>
      <w:pPr>
        <w:spacing w:line="360" w:lineRule="auto" w:after="0" w:before="0"/>
      </w:pPr>
      <w:r>
        <w:rPr>
          <w:b w:val="0"/>
        </w:rPr>
        <w:t>- CycloneDX: https://cyclonedx.org/</w:t>
      </w:r>
    </w:p>
    <w:p>
      <w:pPr>
        <w:spacing w:line="360" w:lineRule="auto" w:after="0" w:before="0"/>
      </w:pPr>
      <w:r>
        <w:rPr>
          <w:b w:val="0"/>
        </w:rPr>
        <w:t>- SLSA: https://slsa.dev/</w:t>
      </w:r>
    </w:p>
    <w:p>
      <w:pPr>
        <w:spacing w:line="360" w:lineRule="auto" w:after="0" w:before="0"/>
      </w:pPr>
      <w:r>
        <w:rPr>
          <w:b w:val="0"/>
        </w:rPr>
        <w:t>- CISA — SBOM: https://www.cisa.gov/sbom</w:t>
      </w:r>
    </w:p>
    <w:p>
      <w:pPr>
        <w:spacing w:line="360" w:lineRule="auto" w:after="0" w:before="0"/>
      </w:pPr>
      <w:r>
        <w:rPr>
          <w:b w:val="0"/>
        </w:rPr>
        <w:t>- ITIL 4 — AXELOS: https://www.axelos.com/best-practice-solutions/itil</w:t>
      </w:r>
    </w:p>
    <w:p>
      <w:pPr>
        <w:spacing w:line="360" w:lineRule="auto" w:after="0" w:before="0"/>
      </w:pPr>
      <w:r>
        <w:rPr>
          <w:b w:val="0"/>
        </w:rPr>
        <w:t>- COBIT — ISACA: https://www.isaca.org/resources/cobit</w:t>
      </w:r>
    </w:p>
    <w:p>
      <w:pPr>
        <w:spacing w:line="360" w:lineRule="auto" w:after="0" w:before="0"/>
      </w:pPr>
      <w:r>
        <w:rPr>
          <w:b w:val="0"/>
        </w:rPr>
        <w:t>- 44‑ФЗ и 223‑ФЗ — pravo.gov.ru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/>
        </w:rPr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