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Translation between Korean and English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SRA has no P&amp;L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CEO structure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Private - family members went to jail etc. says alot.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Ups &amp; downs, compare to Patagonia. Being Private comes with benefits that can be used for good or bad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business units are called “affiliates”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Units interact less between themselves (similar to Microsoft)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ask Anthony - top-down or bottom-up?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Compiling - </w:t>
      </w:r>
      <w:r w:rsidDel="00000000" w:rsidR="00000000" w:rsidRPr="00000000">
        <w:rPr>
          <w:color w:val="ff0000"/>
          <w:rtl w:val="0"/>
        </w:rPr>
        <w:t xml:space="preserve">Alan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Due on Tuesday - 11:59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Samsung Vision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Samsung Mission 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(FJ)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Strategy (Samsung's overall and SR's) 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(Christian)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Combine both hardware technologies and new software tech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Maybe quote Anthony...Samsung primarily a hardware company and try to leverage this.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Also talk about Ben Thompson’s article -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https://stratechery.com/2014/smartphone-truths-samsungs-inevitable-decline/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 - where he says Samsung will die without software differentiation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Org Structure: (2 ppl) 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(James Dong)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3 CEOs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Precede with Originally super Korean/Japaneseish company and "recently" adopting new non-Korean techniques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Many business units under this called affiliates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regional based but not regional based collisions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Culture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Korean vs America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Samsung Research 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(Harry)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SR vision vs Samsung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Shape the future with innovation and intelligence (Samsung Research)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SR mission vs Samsung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Samsung Electronics and Samsung Research...gap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research under electronics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Objective and strategy tied back to Samsung Electronics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Navigation 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(Mansi)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Head of SR is advisor executive VP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Easy for us to navigate.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Research centre so maybe it’ll be more easy to propose something. No P&amp;L.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ratechery.com/2014/smartphone-truths-samsungs-inevitable-decl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