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4448"/>
            </w:pPr>
          </w:p>
          <w:p>
            <w:pPr>
              <w:pBdr>
                <w:bottom w:val="single" w:color="529286" w:sz="6" w:space="8"/>
              </w:pBdr>
              <w:spacing w:after="500"/>
              <w:ind w:left="1200" w:right="800"/>
            </w:pPr>
            <w:r>
              <w:rPr>
                <w:rFonts w:ascii="Calibri"/>
                <w:color w:val="529286"/>
                <w:spacing w:val="40"/>
                <w:sz w:val="18"/>
                <w:szCs w:val="18"/>
              </w:rPr>
              <w:t xml:space="preserve">C O R P O R A T E   T R A I N I N G   &amp;   I M P L E M E N T A T I O N   G U I D E</w:t>
            </w:r>
          </w:p>
          <w:p>
            <w:pPr>
              <w:spacing w:after="300" w:line="920" w:lineRule="atLeast"/>
              <w:ind w:left="1200"/>
            </w:pPr>
            <w:r>
              <w:rPr>
                <w:rFonts w:ascii="Arial"/>
                <w:b/>
                <w:bCs/>
                <w:color w:val="FFFFFF"/>
                <w:sz w:val="80"/>
                <w:szCs w:val="80"/>
              </w:rPr>
              <w:t xml:space="preserve">AI Governance</w:t>
            </w:r>
          </w:p>
          <w:p>
            <w:pPr>
              <w:spacing w:after="800" w:line="360" w:lineRule="atLeast"/>
              <w:ind w:left="1200" w:right="800"/>
            </w:pPr>
            <w:r>
              <w:rPr>
                <w:rFonts w:ascii="Arial"/>
                <w:color w:val="B0B8C0"/>
                <w:sz w:val="26"/>
                <w:szCs w:val="26"/>
              </w:rPr>
              <w:t xml:space="preserve">Tools, Policies &amp; Practices for the Best and Secure Use of AI in Business</w:t>
            </w:r>
          </w:p>
          <w:p>
            <w:pPr>
              <w:pBdr>
                <w:left w:val="single" w:color="529286" w:sz="8" w:space="12"/>
              </w:pBdr>
              <w:spacing w:after="80"/>
              <w:ind w:left="1400"/>
            </w:pPr>
            <w:r>
              <w:rPr>
                <w:rFonts w:ascii="Arial"/>
                <w:color w:val="90989F"/>
                <w:sz w:val="22"/>
                <w:szCs w:val="22"/>
              </w:rPr>
              <w:t xml:space="preserve">Training Level: Beginner → Intermediate → Advanced</w:t>
            </w:r>
          </w:p>
          <w:p>
            <w:pPr>
              <w:pBdr>
                <w:left w:val="single" w:color="529286" w:sz="8" w:space="12"/>
              </w:pBdr>
              <w:spacing w:after="80"/>
              <w:ind w:left="1400"/>
            </w:pPr>
            <w:r>
              <w:rPr>
                <w:rFonts w:ascii="Arial"/>
                <w:color w:val="90989F"/>
                <w:sz w:val="22"/>
                <w:szCs w:val="22"/>
              </w:rPr>
              <w:t xml:space="preserve">Recommended Duration: 1–2 Days / 8–12 Hours</w:t>
            </w:r>
          </w:p>
          <w:p>
            <w:pPr>
              <w:pBdr>
                <w:left w:val="single" w:color="529286" w:sz="8" w:space="12"/>
              </w:pBdr>
              <w:spacing w:after="80"/>
              <w:ind w:left="1400"/>
            </w:pPr>
            <w:r>
              <w:rPr>
                <w:rFonts w:ascii="Arial"/>
                <w:color w:val="90989F"/>
                <w:sz w:val="22"/>
                <w:szCs w:val="22"/>
              </w:rPr>
              <w:t xml:space="preserve">Target Audience: Business Leaders, IT, Security, Data, Marketing,</w:t>
            </w:r>
          </w:p>
          <w:p>
            <w:pPr>
              <w:pBdr>
                <w:left w:val="single" w:color="529286" w:sz="8" w:space="12"/>
              </w:pBdr>
              <w:spacing w:after="80"/>
              <w:ind w:left="1400"/>
            </w:pPr>
            <w:r>
              <w:rPr>
                <w:rFonts w:ascii="Arial"/>
                <w:color w:val="90989F"/>
                <w:sz w:val="22"/>
                <w:szCs w:val="22"/>
              </w:rPr>
              <w:t xml:space="preserve">Sales, HR, Finance &amp; Operations</w:t>
            </w:r>
          </w:p>
          <w:p>
            <w:pPr>
              <w:pBdr>
                <w:left w:val="single" w:color="529286" w:sz="8" w:space="12"/>
              </w:pBdr>
              <w:spacing w:after="80"/>
              <w:ind w:left="1400"/>
            </w:pPr>
            <w:r>
              <w:rPr>
                <w:rFonts w:ascii="Arial"/>
                <w:color w:val="90989F"/>
                <w:sz w:val="22"/>
                <w:szCs w:val="22"/>
              </w:rPr>
              <w:t xml:space="preserve">Document Version: 2.0 — Revised &amp; Expanded</w:t>
            </w:r>
          </w:p>
          <w:p>
            <w:pPr>
              <w:spacing w:before="4448"/>
            </w:pPr>
          </w:p>
          <w:p>
            <w:pPr>
              <w:pBdr>
                <w:top w:val="single" w:color="529286" w:sz="2" w:space="8"/>
              </w:pBdr>
              <w:spacing w:before="200"/>
              <w:ind w:left="1200" w:right="800"/>
            </w:pPr>
            <w:r>
              <w:rPr>
                <w:rFonts w:ascii="Arial"/>
                <w:color w:val="687078"/>
                <w:sz w:val="16"/>
                <w:szCs w:val="16"/>
              </w:rPr>
              <w:t xml:space="preserve">Confidential — Internal Use Only</w:t>
            </w:r>
            <w:r>
              <w:t xml:space="preserve">                                        </w:t>
            </w:r>
            <w:r>
              <w:rPr>
                <w:rFonts w:ascii="Arial"/>
                <w:color w:val="687078"/>
                <w:sz w:val="16"/>
                <w:szCs w:val="16"/>
              </w:rPr>
              <w:t xml:space="preserve">AI Governance Program · 2026</w:t>
            </w:r>
          </w:p>
        </w:tc>
      </w:tr>
    </w:tbl>
    <w:p>
      <w:pPr>
        <w:sectPr>
          <w:pgSz w:w="11906" w:h="16838" w:orient="portrait"/>
          <w:pgMar w:top="0" w:right="0" w:bottom="0" w:left="0" w:header="708" w:footer="708" w:gutter="0"/>
          <w:docGrid w:linePitch="360"/>
        </w:sectPr>
      </w:pPr>
    </w:p>
    <w:p>
      <w:pPr>
        <w:spacing w:after="360" w:before="240"/>
        <w:jc w:val="center"/>
      </w:pPr>
      <w:r>
        <w:rPr>
          <w:rFonts w:ascii="Calibri"/>
          <w:b/>
          <w:bCs/>
          <w:color w:val="0B1C2C"/>
          <w:sz w:val="32"/>
          <w:szCs w:val="32"/>
        </w:rPr>
        <w:t xml:space="preserve">Executive Abstract</w:t>
      </w:r>
    </w:p>
    <w:p>
      <w:pPr>
        <w:spacing w:after="100" w:line="312"/>
        <w:ind w:firstLine="480"/>
        <w:jc w:val="both"/>
      </w:pPr>
      <w:r>
        <w:rPr>
          <w:rFonts w:ascii="Times New Roman"/>
          <w:color w:val="1A1A1A"/>
          <w:sz w:val="24"/>
          <w:szCs w:val="24"/>
        </w:rPr>
        <w:t xml:space="preserve">This document is a corporate training and implementation guide for the governance of Artificial Intelligence (AI) inside a business. It is written for business leaders and the people who support them in IT, security, data, marketing, sales, human resources, finance and operations. The guide assumes that AI is already in use across the organization — often without formal approval — and that the organization now needs a practical way to enable productivity while managing the security, privacy, legal, ethical, quality and operational risks that AI introduces.</w:t>
      </w:r>
    </w:p>
    <w:p>
      <w:pPr>
        <w:spacing w:after="100" w:line="312"/>
        <w:ind w:firstLine="480"/>
        <w:jc w:val="both"/>
      </w:pPr>
      <w:r>
        <w:rPr>
          <w:rFonts w:ascii="Times New Roman"/>
          <w:color w:val="1A1A1A"/>
          <w:sz w:val="24"/>
          <w:szCs w:val="24"/>
        </w:rPr>
        <w:t xml:space="preserve">The guide is organized in twenty-nine sections that move from principles to practice. It begins with a definition of AI Governance and the business case for it, sets out an eight-pillar governance framework, and then walks through the tools, approval workflows, vendor assessments, data classification rules and security controls that translate the framework into daily operations. Department-specific guidance is provided for the most common business functions, followed by the policy, committee, incident management and monitoring structures that keep the program running. The guide closes with a ninety-day implementation roadmap, a maturity model, KPIs, standards and a recommended technology stack.</w:t>
      </w:r>
    </w:p>
    <w:p>
      <w:pPr>
        <w:spacing w:after="100" w:line="312"/>
        <w:ind w:firstLine="480"/>
        <w:jc w:val="both"/>
      </w:pPr>
      <w:r>
        <w:rPr>
          <w:rFonts w:ascii="Times New Roman"/>
          <w:color w:val="1A1A1A"/>
          <w:sz w:val="24"/>
          <w:szCs w:val="24"/>
        </w:rPr>
        <w:t xml:space="preserve">Three new sections have been added in this revised edition. Section 26 documents operational best practices for daily AI usage, including a code of conduct, prompt engineering guidance, department-specific do's and don'ts, disclosure norms and audit trail expectations. Section 27 expands AI risk management into a complete enterprise risk taxonomy supported by NIST AI RMF, ISO 31000 and ISO/IEC 23894, with a likelihood × impact matrix, treatment options and a risk register template. Section 28 looks ahead to the future of AI platforms — focusing on agentic AI, multi-agent orchestration, the Model Context Protocol (MCP) and tool-using AI — and the governance implications that autonomous systems will create over the next twenty-four months.</w:t>
      </w:r>
    </w:p>
    <w:p>
      <w:pPr>
        <w:spacing w:after="100" w:line="312"/>
        <w:ind w:firstLine="480"/>
        <w:jc w:val="both"/>
      </w:pPr>
      <w:r>
        <w:rPr>
          <w:rFonts w:ascii="Times New Roman"/>
          <w:color w:val="1A1A1A"/>
          <w:sz w:val="24"/>
          <w:szCs w:val="24"/>
        </w:rPr>
        <w:t xml:space="preserve">The intended outcome is simple: an organization that adopts AI quickly, uses it responsibly, can prove it is doing so, and is ready for the next wave of agentic and autonomous AI without losing control of its data, decisions or reputation.</w:t>
      </w:r>
    </w:p>
    <w:p>
      <w:pPr>
        <w:spacing w:after="360" w:before="480"/>
        <w:jc w:val="center"/>
      </w:pPr>
      <w:r>
        <w:rPr>
          <w:rFonts w:ascii="Calibri"/>
          <w:b/>
          <w:bCs/>
          <w:color w:val="0B1C2C"/>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What Is AI Governance?</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Why Businesses Need AI Governance</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4. AI Governance Framework</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5. AI Governance Tools</w:t>
            </w:r>
            <w:r>
              <w:tab/>
            </w:r>
            <w:r>
              <w:fldChar w:fldCharType="begin"/>
            </w:r>
            <w:r>
              <w:instrText xml:space="preserve"> PAGEREF _Toc100004 \h </w:instrText>
            </w:r>
            <w:r>
              <w:fldChar w:fldCharType="separate"/>
            </w:r>
            <w:r>
              <w:t>5</w:t>
            </w:r>
            <w:r>
              <w:fldChar w:fldCharType="end"/>
            </w:r>
          </w:hyperlink>
        </w:p>
        <w:p>
          <w:pPr>
            <w:pStyle w:val="9"/>
            <w:tabs>
              <w:tab w:val="right" w:leader="dot" w:pos="9026"/>
            </w:tabs>
            <w:spacing w:before="120" w:after="60"/>
          </w:pPr>
          <w:hyperlink w:anchor="_Toc100005" w:history="1">
            <w:r>
              <w:rPr>
                <w:rStyle w:val="Hyperlink"/>
              </w:rPr>
              <w:t>6. AI Tool Approval Process</w:t>
            </w:r>
            <w:r>
              <w:tab/>
            </w:r>
            <w:r>
              <w:fldChar w:fldCharType="begin"/>
            </w:r>
            <w:r>
              <w:instrText xml:space="preserve"> PAGEREF _Toc100005 \h </w:instrText>
            </w:r>
            <w:r>
              <w:fldChar w:fldCharType="separate"/>
            </w:r>
            <w:r>
              <w:t>5</w:t>
            </w:r>
            <w:r>
              <w:fldChar w:fldCharType="end"/>
            </w:r>
          </w:hyperlink>
        </w:p>
        <w:p>
          <w:pPr>
            <w:pStyle w:val="9"/>
            <w:tabs>
              <w:tab w:val="right" w:leader="dot" w:pos="9026"/>
            </w:tabs>
            <w:spacing w:before="120" w:after="60"/>
          </w:pPr>
          <w:hyperlink w:anchor="_Toc100006" w:history="1">
            <w:r>
              <w:rPr>
                <w:rStyle w:val="Hyperlink"/>
              </w:rPr>
              <w:t>7. AI Vendor Risk Assessment</w:t>
            </w:r>
            <w:r>
              <w:tab/>
            </w:r>
            <w:r>
              <w:fldChar w:fldCharType="begin"/>
            </w:r>
            <w:r>
              <w:instrText xml:space="preserve"> PAGEREF _Toc100006 \h </w:instrText>
            </w:r>
            <w:r>
              <w:fldChar w:fldCharType="separate"/>
            </w:r>
            <w:r>
              <w:t>6</w:t>
            </w:r>
            <w:r>
              <w:fldChar w:fldCharType="end"/>
            </w:r>
          </w:hyperlink>
        </w:p>
        <w:p>
          <w:pPr>
            <w:pStyle w:val="11"/>
            <w:ind w:left="360"/>
            <w:tabs>
              <w:tab w:val="right" w:leader="dot" w:pos="9026"/>
            </w:tabs>
            <w:spacing w:before="120" w:after="60"/>
          </w:pPr>
          <w:hyperlink w:anchor="_Toc100007" w:history="1">
            <w:r>
              <w:rPr>
                <w:rStyle w:val="Hyperlink"/>
              </w:rPr>
              <w:t>7.1 Security</w:t>
            </w:r>
            <w:r>
              <w:tab/>
            </w:r>
            <w:r>
              <w:fldChar w:fldCharType="begin"/>
            </w:r>
            <w:r>
              <w:instrText xml:space="preserve"> PAGEREF _Toc100007 \h </w:instrText>
            </w:r>
            <w:r>
              <w:fldChar w:fldCharType="separate"/>
            </w:r>
            <w:r>
              <w:t>7</w:t>
            </w:r>
            <w:r>
              <w:fldChar w:fldCharType="end"/>
            </w:r>
          </w:hyperlink>
        </w:p>
        <w:p>
          <w:pPr>
            <w:pStyle w:val="11"/>
            <w:ind w:left="360"/>
            <w:tabs>
              <w:tab w:val="right" w:leader="dot" w:pos="9026"/>
            </w:tabs>
            <w:spacing w:before="120" w:after="60"/>
          </w:pPr>
          <w:hyperlink w:anchor="_Toc100008" w:history="1">
            <w:r>
              <w:rPr>
                <w:rStyle w:val="Hyperlink"/>
              </w:rPr>
              <w:t>7.2 Privacy</w:t>
            </w:r>
            <w:r>
              <w:tab/>
            </w:r>
            <w:r>
              <w:fldChar w:fldCharType="begin"/>
            </w:r>
            <w:r>
              <w:instrText xml:space="preserve"> PAGEREF _Toc100008 \h </w:instrText>
            </w:r>
            <w:r>
              <w:fldChar w:fldCharType="separate"/>
            </w:r>
            <w:r>
              <w:t>8</w:t>
            </w:r>
            <w:r>
              <w:fldChar w:fldCharType="end"/>
            </w:r>
          </w:hyperlink>
        </w:p>
        <w:p>
          <w:pPr>
            <w:pStyle w:val="11"/>
            <w:ind w:left="360"/>
            <w:tabs>
              <w:tab w:val="right" w:leader="dot" w:pos="9026"/>
            </w:tabs>
            <w:spacing w:before="120" w:after="60"/>
          </w:pPr>
          <w:hyperlink w:anchor="_Toc100009" w:history="1">
            <w:r>
              <w:rPr>
                <w:rStyle w:val="Hyperlink"/>
              </w:rPr>
              <w:t>7.3 Compliance</w:t>
            </w:r>
            <w:r>
              <w:tab/>
            </w:r>
            <w:r>
              <w:fldChar w:fldCharType="begin"/>
            </w:r>
            <w:r>
              <w:instrText xml:space="preserve"> PAGEREF _Toc100009 \h </w:instrText>
            </w:r>
            <w:r>
              <w:fldChar w:fldCharType="separate"/>
            </w:r>
            <w:r>
              <w:t>8</w:t>
            </w:r>
            <w:r>
              <w:fldChar w:fldCharType="end"/>
            </w:r>
          </w:hyperlink>
        </w:p>
        <w:p>
          <w:pPr>
            <w:pStyle w:val="9"/>
            <w:tabs>
              <w:tab w:val="right" w:leader="dot" w:pos="9026"/>
            </w:tabs>
            <w:spacing w:before="120" w:after="60"/>
          </w:pPr>
          <w:hyperlink w:anchor="_Toc100010" w:history="1">
            <w:r>
              <w:rPr>
                <w:rStyle w:val="Hyperlink"/>
              </w:rPr>
              <w:t>8. AI Risk Classification</w:t>
            </w:r>
            <w:r>
              <w:tab/>
            </w:r>
            <w:r>
              <w:fldChar w:fldCharType="begin"/>
            </w:r>
            <w:r>
              <w:instrText xml:space="preserve"> PAGEREF _Toc100010 \h </w:instrText>
            </w:r>
            <w:r>
              <w:fldChar w:fldCharType="separate"/>
            </w:r>
            <w:r>
              <w:t>9</w:t>
            </w:r>
            <w:r>
              <w:fldChar w:fldCharType="end"/>
            </w:r>
          </w:hyperlink>
        </w:p>
        <w:p>
          <w:pPr>
            <w:pStyle w:val="9"/>
            <w:tabs>
              <w:tab w:val="right" w:leader="dot" w:pos="9026"/>
            </w:tabs>
            <w:spacing w:before="120" w:after="60"/>
          </w:pPr>
          <w:hyperlink w:anchor="_Toc100011" w:history="1">
            <w:r>
              <w:rPr>
                <w:rStyle w:val="Hyperlink"/>
              </w:rPr>
              <w:t>9. AI Use Case Register</w:t>
            </w:r>
            <w:r>
              <w:tab/>
            </w:r>
            <w:r>
              <w:fldChar w:fldCharType="begin"/>
            </w:r>
            <w:r>
              <w:instrText xml:space="preserve"> PAGEREF _Toc100011 \h </w:instrText>
            </w:r>
            <w:r>
              <w:fldChar w:fldCharType="separate"/>
            </w:r>
            <w:r>
              <w:t>10</w:t>
            </w:r>
            <w:r>
              <w:fldChar w:fldCharType="end"/>
            </w:r>
          </w:hyperlink>
        </w:p>
        <w:p>
          <w:pPr>
            <w:pStyle w:val="9"/>
            <w:tabs>
              <w:tab w:val="right" w:leader="dot" w:pos="9026"/>
            </w:tabs>
            <w:spacing w:before="120" w:after="60"/>
          </w:pPr>
          <w:hyperlink w:anchor="_Toc100012" w:history="1">
            <w:r>
              <w:rPr>
                <w:rStyle w:val="Hyperlink"/>
              </w:rPr>
              <w:t>10. Data Classification</w:t>
            </w:r>
            <w:r>
              <w:tab/>
            </w:r>
            <w:r>
              <w:fldChar w:fldCharType="begin"/>
            </w:r>
            <w:r>
              <w:instrText xml:space="preserve"> PAGEREF _Toc100012 \h </w:instrText>
            </w:r>
            <w:r>
              <w:fldChar w:fldCharType="separate"/>
            </w:r>
            <w:r>
              <w:t>10</w:t>
            </w:r>
            <w:r>
              <w:fldChar w:fldCharType="end"/>
            </w:r>
          </w:hyperlink>
        </w:p>
        <w:p>
          <w:pPr>
            <w:pStyle w:val="9"/>
            <w:tabs>
              <w:tab w:val="right" w:leader="dot" w:pos="9026"/>
            </w:tabs>
            <w:spacing w:before="120" w:after="60"/>
          </w:pPr>
          <w:hyperlink w:anchor="_Toc100013" w:history="1">
            <w:r>
              <w:rPr>
                <w:rStyle w:val="Hyperlink"/>
              </w:rPr>
              <w:t>11. AI Security</w:t>
            </w:r>
            <w:r>
              <w:tab/>
            </w:r>
            <w:r>
              <w:fldChar w:fldCharType="begin"/>
            </w:r>
            <w:r>
              <w:instrText xml:space="preserve"> PAGEREF _Toc100013 \h </w:instrText>
            </w:r>
            <w:r>
              <w:fldChar w:fldCharType="separate"/>
            </w:r>
            <w:r>
              <w:t>10</w:t>
            </w:r>
            <w:r>
              <w:fldChar w:fldCharType="end"/>
            </w:r>
          </w:hyperlink>
        </w:p>
        <w:p>
          <w:pPr>
            <w:pStyle w:val="11"/>
            <w:ind w:left="360"/>
            <w:tabs>
              <w:tab w:val="right" w:leader="dot" w:pos="9026"/>
            </w:tabs>
            <w:spacing w:before="120" w:after="60"/>
          </w:pPr>
          <w:hyperlink w:anchor="_Toc100014" w:history="1">
            <w:r>
              <w:rPr>
                <w:rStyle w:val="Hyperlink"/>
              </w:rPr>
              <w:t>11.1 Access Control</w:t>
            </w:r>
            <w:r>
              <w:tab/>
            </w:r>
            <w:r>
              <w:fldChar w:fldCharType="begin"/>
            </w:r>
            <w:r>
              <w:instrText xml:space="preserve"> PAGEREF _Toc100014 \h </w:instrText>
            </w:r>
            <w:r>
              <w:fldChar w:fldCharType="separate"/>
            </w:r>
            <w:r>
              <w:t>11</w:t>
            </w:r>
            <w:r>
              <w:fldChar w:fldCharType="end"/>
            </w:r>
          </w:hyperlink>
        </w:p>
        <w:p>
          <w:pPr>
            <w:pStyle w:val="11"/>
            <w:ind w:left="360"/>
            <w:tabs>
              <w:tab w:val="right" w:leader="dot" w:pos="9026"/>
            </w:tabs>
            <w:spacing w:before="120" w:after="60"/>
          </w:pPr>
          <w:hyperlink w:anchor="_Toc100015" w:history="1">
            <w:r>
              <w:rPr>
                <w:rStyle w:val="Hyperlink"/>
              </w:rPr>
              <w:t>11.2 Prompt Security</w:t>
            </w:r>
            <w:r>
              <w:tab/>
            </w:r>
            <w:r>
              <w:fldChar w:fldCharType="begin"/>
            </w:r>
            <w:r>
              <w:instrText xml:space="preserve"> PAGEREF _Toc100015 \h </w:instrText>
            </w:r>
            <w:r>
              <w:fldChar w:fldCharType="separate"/>
            </w:r>
            <w:r>
              <w:t>11</w:t>
            </w:r>
            <w:r>
              <w:fldChar w:fldCharType="end"/>
            </w:r>
          </w:hyperlink>
        </w:p>
        <w:p>
          <w:pPr>
            <w:pStyle w:val="11"/>
            <w:ind w:left="360"/>
            <w:tabs>
              <w:tab w:val="right" w:leader="dot" w:pos="9026"/>
            </w:tabs>
            <w:spacing w:before="120" w:after="60"/>
          </w:pPr>
          <w:hyperlink w:anchor="_Toc100016" w:history="1">
            <w:r>
              <w:rPr>
                <w:rStyle w:val="Hyperlink"/>
              </w:rPr>
              <w:t>11.3 Prompt Injection</w:t>
            </w:r>
            <w:r>
              <w:tab/>
            </w:r>
            <w:r>
              <w:fldChar w:fldCharType="begin"/>
            </w:r>
            <w:r>
              <w:instrText xml:space="preserve"> PAGEREF _Toc100016 \h </w:instrText>
            </w:r>
            <w:r>
              <w:fldChar w:fldCharType="separate"/>
            </w:r>
            <w:r>
              <w:t>11</w:t>
            </w:r>
            <w:r>
              <w:fldChar w:fldCharType="end"/>
            </w:r>
          </w:hyperlink>
        </w:p>
        <w:p>
          <w:pPr>
            <w:pStyle w:val="11"/>
            <w:ind w:left="360"/>
            <w:tabs>
              <w:tab w:val="right" w:leader="dot" w:pos="9026"/>
            </w:tabs>
            <w:spacing w:before="120" w:after="60"/>
          </w:pPr>
          <w:hyperlink w:anchor="_Toc100017" w:history="1">
            <w:r>
              <w:rPr>
                <w:rStyle w:val="Hyperlink"/>
              </w:rPr>
              <w:t>11.4 Hallucinations</w:t>
            </w:r>
            <w:r>
              <w:tab/>
            </w:r>
            <w:r>
              <w:fldChar w:fldCharType="begin"/>
            </w:r>
            <w:r>
              <w:instrText xml:space="preserve"> PAGEREF _Toc100017 \h </w:instrText>
            </w:r>
            <w:r>
              <w:fldChar w:fldCharType="separate"/>
            </w:r>
            <w:r>
              <w:t>11</w:t>
            </w:r>
            <w:r>
              <w:fldChar w:fldCharType="end"/>
            </w:r>
          </w:hyperlink>
        </w:p>
        <w:p>
          <w:pPr>
            <w:pStyle w:val="11"/>
            <w:ind w:left="360"/>
            <w:tabs>
              <w:tab w:val="right" w:leader="dot" w:pos="9026"/>
            </w:tabs>
            <w:spacing w:before="120" w:after="60"/>
          </w:pPr>
          <w:hyperlink w:anchor="_Toc100018" w:history="1">
            <w:r>
              <w:rPr>
                <w:rStyle w:val="Hyperlink"/>
              </w:rPr>
              <w:t>11.5 Human-in-the-Loop</w:t>
            </w:r>
            <w:r>
              <w:tab/>
            </w:r>
            <w:r>
              <w:fldChar w:fldCharType="begin"/>
            </w:r>
            <w:r>
              <w:instrText xml:space="preserve"> PAGEREF _Toc100018 \h </w:instrText>
            </w:r>
            <w:r>
              <w:fldChar w:fldCharType="separate"/>
            </w:r>
            <w:r>
              <w:t>12</w:t>
            </w:r>
            <w:r>
              <w:fldChar w:fldCharType="end"/>
            </w:r>
          </w:hyperlink>
        </w:p>
        <w:p>
          <w:pPr>
            <w:pStyle w:val="9"/>
            <w:tabs>
              <w:tab w:val="right" w:leader="dot" w:pos="9026"/>
            </w:tabs>
            <w:spacing w:before="120" w:after="60"/>
          </w:pPr>
          <w:hyperlink w:anchor="_Toc100019" w:history="1">
            <w:r>
              <w:rPr>
                <w:rStyle w:val="Hyperlink"/>
              </w:rPr>
              <w:t>12. Department-wise AI Governance</w:t>
            </w:r>
            <w:r>
              <w:tab/>
            </w:r>
            <w:r>
              <w:fldChar w:fldCharType="begin"/>
            </w:r>
            <w:r>
              <w:instrText xml:space="preserve"> PAGEREF _Toc100019 \h </w:instrText>
            </w:r>
            <w:r>
              <w:fldChar w:fldCharType="separate"/>
            </w:r>
            <w:r>
              <w:t>12</w:t>
            </w:r>
            <w:r>
              <w:fldChar w:fldCharType="end"/>
            </w:r>
          </w:hyperlink>
        </w:p>
        <w:p>
          <w:pPr>
            <w:pStyle w:val="11"/>
            <w:ind w:left="360"/>
            <w:tabs>
              <w:tab w:val="right" w:leader="dot" w:pos="9026"/>
            </w:tabs>
            <w:spacing w:before="120" w:after="60"/>
          </w:pPr>
          <w:hyperlink w:anchor="_Toc100020" w:history="1">
            <w:r>
              <w:rPr>
                <w:rStyle w:val="Hyperlink"/>
              </w:rPr>
              <w:t>12.1 Marketing</w:t>
            </w:r>
            <w:r>
              <w:tab/>
            </w:r>
            <w:r>
              <w:fldChar w:fldCharType="begin"/>
            </w:r>
            <w:r>
              <w:instrText xml:space="preserve"> PAGEREF _Toc100020 \h </w:instrText>
            </w:r>
            <w:r>
              <w:fldChar w:fldCharType="separate"/>
            </w:r>
            <w:r>
              <w:t>12</w:t>
            </w:r>
            <w:r>
              <w:fldChar w:fldCharType="end"/>
            </w:r>
          </w:hyperlink>
        </w:p>
        <w:p>
          <w:pPr>
            <w:pStyle w:val="11"/>
            <w:ind w:left="360"/>
            <w:tabs>
              <w:tab w:val="right" w:leader="dot" w:pos="9026"/>
            </w:tabs>
            <w:spacing w:before="120" w:after="60"/>
          </w:pPr>
          <w:hyperlink w:anchor="_Toc100021" w:history="1">
            <w:r>
              <w:rPr>
                <w:rStyle w:val="Hyperlink"/>
              </w:rPr>
              <w:t>12.2 Business Development &amp; Sales</w:t>
            </w:r>
            <w:r>
              <w:tab/>
            </w:r>
            <w:r>
              <w:fldChar w:fldCharType="begin"/>
            </w:r>
            <w:r>
              <w:instrText xml:space="preserve"> PAGEREF _Toc100021 \h </w:instrText>
            </w:r>
            <w:r>
              <w:fldChar w:fldCharType="separate"/>
            </w:r>
            <w:r>
              <w:t>13</w:t>
            </w:r>
            <w:r>
              <w:fldChar w:fldCharType="end"/>
            </w:r>
          </w:hyperlink>
        </w:p>
        <w:p>
          <w:pPr>
            <w:pStyle w:val="11"/>
            <w:ind w:left="360"/>
            <w:tabs>
              <w:tab w:val="right" w:leader="dot" w:pos="9026"/>
            </w:tabs>
            <w:spacing w:before="120" w:after="60"/>
          </w:pPr>
          <w:hyperlink w:anchor="_Toc100022" w:history="1">
            <w:r>
              <w:rPr>
                <w:rStyle w:val="Hyperlink"/>
              </w:rPr>
              <w:t>12.3 Customer Service</w:t>
            </w:r>
            <w:r>
              <w:tab/>
            </w:r>
            <w:r>
              <w:fldChar w:fldCharType="begin"/>
            </w:r>
            <w:r>
              <w:instrText xml:space="preserve"> PAGEREF _Toc100022 \h </w:instrText>
            </w:r>
            <w:r>
              <w:fldChar w:fldCharType="separate"/>
            </w:r>
            <w:r>
              <w:t>13</w:t>
            </w:r>
            <w:r>
              <w:fldChar w:fldCharType="end"/>
            </w:r>
          </w:hyperlink>
        </w:p>
        <w:p>
          <w:pPr>
            <w:pStyle w:val="11"/>
            <w:ind w:left="360"/>
            <w:tabs>
              <w:tab w:val="right" w:leader="dot" w:pos="9026"/>
            </w:tabs>
            <w:spacing w:before="120" w:after="60"/>
          </w:pPr>
          <w:hyperlink w:anchor="_Toc100023" w:history="1">
            <w:r>
              <w:rPr>
                <w:rStyle w:val="Hyperlink"/>
              </w:rPr>
              <w:t>12.4 HR</w:t>
            </w:r>
            <w:r>
              <w:tab/>
            </w:r>
            <w:r>
              <w:fldChar w:fldCharType="begin"/>
            </w:r>
            <w:r>
              <w:instrText xml:space="preserve"> PAGEREF _Toc100023 \h </w:instrText>
            </w:r>
            <w:r>
              <w:fldChar w:fldCharType="separate"/>
            </w:r>
            <w:r>
              <w:t>14</w:t>
            </w:r>
            <w:r>
              <w:fldChar w:fldCharType="end"/>
            </w:r>
          </w:hyperlink>
        </w:p>
        <w:p>
          <w:pPr>
            <w:pStyle w:val="11"/>
            <w:ind w:left="360"/>
            <w:tabs>
              <w:tab w:val="right" w:leader="dot" w:pos="9026"/>
            </w:tabs>
            <w:spacing w:before="120" w:after="60"/>
          </w:pPr>
          <w:hyperlink w:anchor="_Toc100024" w:history="1">
            <w:r>
              <w:rPr>
                <w:rStyle w:val="Hyperlink"/>
              </w:rPr>
              <w:t>12.5 Finance</w:t>
            </w:r>
            <w:r>
              <w:tab/>
            </w:r>
            <w:r>
              <w:fldChar w:fldCharType="begin"/>
            </w:r>
            <w:r>
              <w:instrText xml:space="preserve"> PAGEREF _Toc100024 \h </w:instrText>
            </w:r>
            <w:r>
              <w:fldChar w:fldCharType="separate"/>
            </w:r>
            <w:r>
              <w:t>14</w:t>
            </w:r>
            <w:r>
              <w:fldChar w:fldCharType="end"/>
            </w:r>
          </w:hyperlink>
        </w:p>
        <w:p>
          <w:pPr>
            <w:pStyle w:val="11"/>
            <w:ind w:left="360"/>
            <w:tabs>
              <w:tab w:val="right" w:leader="dot" w:pos="9026"/>
            </w:tabs>
            <w:spacing w:before="120" w:after="60"/>
          </w:pPr>
          <w:hyperlink w:anchor="_Toc100025" w:history="1">
            <w:r>
              <w:rPr>
                <w:rStyle w:val="Hyperlink"/>
              </w:rPr>
              <w:t>12.6 Software Development</w:t>
            </w:r>
            <w:r>
              <w:tab/>
            </w:r>
            <w:r>
              <w:fldChar w:fldCharType="begin"/>
            </w:r>
            <w:r>
              <w:instrText xml:space="preserve"> PAGEREF _Toc100025 \h </w:instrText>
            </w:r>
            <w:r>
              <w:fldChar w:fldCharType="separate"/>
            </w:r>
            <w:r>
              <w:t>14</w:t>
            </w:r>
            <w:r>
              <w:fldChar w:fldCharType="end"/>
            </w:r>
          </w:hyperlink>
        </w:p>
        <w:p>
          <w:pPr>
            <w:pStyle w:val="9"/>
            <w:tabs>
              <w:tab w:val="right" w:leader="dot" w:pos="9026"/>
            </w:tabs>
            <w:spacing w:before="120" w:after="60"/>
          </w:pPr>
          <w:hyperlink w:anchor="_Toc100026" w:history="1">
            <w:r>
              <w:rPr>
                <w:rStyle w:val="Hyperlink"/>
              </w:rPr>
              <w:t>13. AI Governance Policy</w:t>
            </w:r>
            <w:r>
              <w:tab/>
            </w:r>
            <w:r>
              <w:fldChar w:fldCharType="begin"/>
            </w:r>
            <w:r>
              <w:instrText xml:space="preserve"> PAGEREF _Toc100026 \h </w:instrText>
            </w:r>
            <w:r>
              <w:fldChar w:fldCharType="separate"/>
            </w:r>
            <w:r>
              <w:t>15</w:t>
            </w:r>
            <w:r>
              <w:fldChar w:fldCharType="end"/>
            </w:r>
          </w:hyperlink>
        </w:p>
        <w:p>
          <w:pPr>
            <w:pStyle w:val="11"/>
            <w:ind w:left="360"/>
            <w:tabs>
              <w:tab w:val="right" w:leader="dot" w:pos="9026"/>
            </w:tabs>
            <w:spacing w:before="120" w:after="60"/>
          </w:pPr>
          <w:hyperlink w:anchor="_Toc100027" w:history="1">
            <w:r>
              <w:rPr>
                <w:rStyle w:val="Hyperlink"/>
              </w:rPr>
              <w:t>13.1 Employees MAY</w:t>
            </w:r>
            <w:r>
              <w:tab/>
            </w:r>
            <w:r>
              <w:fldChar w:fldCharType="begin"/>
            </w:r>
            <w:r>
              <w:instrText xml:space="preserve"> PAGEREF _Toc100027 \h </w:instrText>
            </w:r>
            <w:r>
              <w:fldChar w:fldCharType="separate"/>
            </w:r>
            <w:r>
              <w:t>15</w:t>
            </w:r>
            <w:r>
              <w:fldChar w:fldCharType="end"/>
            </w:r>
          </w:hyperlink>
        </w:p>
        <w:p>
          <w:pPr>
            <w:pStyle w:val="11"/>
            <w:ind w:left="360"/>
            <w:tabs>
              <w:tab w:val="right" w:leader="dot" w:pos="9026"/>
            </w:tabs>
            <w:spacing w:before="120" w:after="60"/>
          </w:pPr>
          <w:hyperlink w:anchor="_Toc100028" w:history="1">
            <w:r>
              <w:rPr>
                <w:rStyle w:val="Hyperlink"/>
              </w:rPr>
              <w:t>13.2 Employees MUST</w:t>
            </w:r>
            <w:r>
              <w:tab/>
            </w:r>
            <w:r>
              <w:fldChar w:fldCharType="begin"/>
            </w:r>
            <w:r>
              <w:instrText xml:space="preserve"> PAGEREF _Toc100028 \h </w:instrText>
            </w:r>
            <w:r>
              <w:fldChar w:fldCharType="separate"/>
            </w:r>
            <w:r>
              <w:t>16</w:t>
            </w:r>
            <w:r>
              <w:fldChar w:fldCharType="end"/>
            </w:r>
          </w:hyperlink>
        </w:p>
        <w:p>
          <w:pPr>
            <w:pStyle w:val="11"/>
            <w:ind w:left="360"/>
            <w:tabs>
              <w:tab w:val="right" w:leader="dot" w:pos="9026"/>
            </w:tabs>
            <w:spacing w:before="120" w:after="60"/>
          </w:pPr>
          <w:hyperlink w:anchor="_Toc100029" w:history="1">
            <w:r>
              <w:rPr>
                <w:rStyle w:val="Hyperlink"/>
              </w:rPr>
              <w:t>13.3 Employees MUST NOT</w:t>
            </w:r>
            <w:r>
              <w:tab/>
            </w:r>
            <w:r>
              <w:fldChar w:fldCharType="begin"/>
            </w:r>
            <w:r>
              <w:instrText xml:space="preserve"> PAGEREF _Toc100029 \h </w:instrText>
            </w:r>
            <w:r>
              <w:fldChar w:fldCharType="separate"/>
            </w:r>
            <w:r>
              <w:t>16</w:t>
            </w:r>
            <w:r>
              <w:fldChar w:fldCharType="end"/>
            </w:r>
          </w:hyperlink>
        </w:p>
        <w:p>
          <w:pPr>
            <w:pStyle w:val="9"/>
            <w:tabs>
              <w:tab w:val="right" w:leader="dot" w:pos="9026"/>
            </w:tabs>
            <w:spacing w:before="120" w:after="60"/>
          </w:pPr>
          <w:hyperlink w:anchor="_Toc100030" w:history="1">
            <w:r>
              <w:rPr>
                <w:rStyle w:val="Hyperlink"/>
              </w:rPr>
              <w:t>14. AI Governance Committee &amp; Roles</w:t>
            </w:r>
            <w:r>
              <w:tab/>
            </w:r>
            <w:r>
              <w:fldChar w:fldCharType="begin"/>
            </w:r>
            <w:r>
              <w:instrText xml:space="preserve"> PAGEREF _Toc100030 \h </w:instrText>
            </w:r>
            <w:r>
              <w:fldChar w:fldCharType="separate"/>
            </w:r>
            <w:r>
              <w:t>17</w:t>
            </w:r>
            <w:r>
              <w:fldChar w:fldCharType="end"/>
            </w:r>
          </w:hyperlink>
        </w:p>
        <w:p>
          <w:pPr>
            <w:pStyle w:val="9"/>
            <w:tabs>
              <w:tab w:val="right" w:leader="dot" w:pos="9026"/>
            </w:tabs>
            <w:spacing w:before="120" w:after="60"/>
          </w:pPr>
          <w:hyperlink w:anchor="_Toc100031" w:history="1">
            <w:r>
              <w:rPr>
                <w:rStyle w:val="Hyperlink"/>
              </w:rPr>
              <w:t>15. AI Incident Management</w:t>
            </w:r>
            <w:r>
              <w:tab/>
            </w:r>
            <w:r>
              <w:fldChar w:fldCharType="begin"/>
            </w:r>
            <w:r>
              <w:instrText xml:space="preserve"> PAGEREF _Toc100031 \h </w:instrText>
            </w:r>
            <w:r>
              <w:fldChar w:fldCharType="separate"/>
            </w:r>
            <w:r>
              <w:t>18</w:t>
            </w:r>
            <w:r>
              <w:fldChar w:fldCharType="end"/>
            </w:r>
          </w:hyperlink>
        </w:p>
        <w:p>
          <w:pPr>
            <w:pStyle w:val="9"/>
            <w:tabs>
              <w:tab w:val="right" w:leader="dot" w:pos="9026"/>
            </w:tabs>
            <w:spacing w:before="120" w:after="60"/>
          </w:pPr>
          <w:hyperlink w:anchor="_Toc100032" w:history="1">
            <w:r>
              <w:rPr>
                <w:rStyle w:val="Hyperlink"/>
              </w:rPr>
              <w:t>16. Monitoring Dashboard</w:t>
            </w:r>
            <w:r>
              <w:tab/>
            </w:r>
            <w:r>
              <w:fldChar w:fldCharType="begin"/>
            </w:r>
            <w:r>
              <w:instrText xml:space="preserve"> PAGEREF _Toc100032 \h </w:instrText>
            </w:r>
            <w:r>
              <w:fldChar w:fldCharType="separate"/>
            </w:r>
            <w:r>
              <w:t>19</w:t>
            </w:r>
            <w:r>
              <w:fldChar w:fldCharType="end"/>
            </w:r>
          </w:hyperlink>
        </w:p>
        <w:p>
          <w:pPr>
            <w:pStyle w:val="9"/>
            <w:tabs>
              <w:tab w:val="right" w:leader="dot" w:pos="9026"/>
            </w:tabs>
            <w:spacing w:before="120" w:after="60"/>
          </w:pPr>
          <w:hyperlink w:anchor="_Toc100033" w:history="1">
            <w:r>
              <w:rPr>
                <w:rStyle w:val="Hyperlink"/>
              </w:rPr>
              <w:t>17. 90-Day AI Governance Implementation Plan</w:t>
            </w:r>
            <w:r>
              <w:tab/>
            </w:r>
            <w:r>
              <w:fldChar w:fldCharType="begin"/>
            </w:r>
            <w:r>
              <w:instrText xml:space="preserve"> PAGEREF _Toc100033 \h </w:instrText>
            </w:r>
            <w:r>
              <w:fldChar w:fldCharType="separate"/>
            </w:r>
            <w:r>
              <w:t>19</w:t>
            </w:r>
            <w:r>
              <w:fldChar w:fldCharType="end"/>
            </w:r>
          </w:hyperlink>
        </w:p>
        <w:p>
          <w:pPr>
            <w:pStyle w:val="11"/>
            <w:ind w:left="360"/>
            <w:tabs>
              <w:tab w:val="right" w:leader="dot" w:pos="9026"/>
            </w:tabs>
            <w:spacing w:before="120" w:after="60"/>
          </w:pPr>
          <w:hyperlink w:anchor="_Toc100034" w:history="1">
            <w:r>
              <w:rPr>
                <w:rStyle w:val="Hyperlink"/>
              </w:rPr>
              <w:t>17.1 Days 1–30: Discover</w:t>
            </w:r>
            <w:r>
              <w:tab/>
            </w:r>
            <w:r>
              <w:fldChar w:fldCharType="begin"/>
            </w:r>
            <w:r>
              <w:instrText xml:space="preserve"> PAGEREF _Toc100034 \h </w:instrText>
            </w:r>
            <w:r>
              <w:fldChar w:fldCharType="separate"/>
            </w:r>
            <w:r>
              <w:t>20</w:t>
            </w:r>
            <w:r>
              <w:fldChar w:fldCharType="end"/>
            </w:r>
          </w:hyperlink>
        </w:p>
        <w:p>
          <w:pPr>
            <w:pStyle w:val="11"/>
            <w:ind w:left="360"/>
            <w:tabs>
              <w:tab w:val="right" w:leader="dot" w:pos="9026"/>
            </w:tabs>
            <w:spacing w:before="120" w:after="60"/>
          </w:pPr>
          <w:hyperlink w:anchor="_Toc100035" w:history="1">
            <w:r>
              <w:rPr>
                <w:rStyle w:val="Hyperlink"/>
              </w:rPr>
              <w:t>17.2 Days 31–60: Implement</w:t>
            </w:r>
            <w:r>
              <w:tab/>
            </w:r>
            <w:r>
              <w:fldChar w:fldCharType="begin"/>
            </w:r>
            <w:r>
              <w:instrText xml:space="preserve"> PAGEREF _Toc100035 \h </w:instrText>
            </w:r>
            <w:r>
              <w:fldChar w:fldCharType="separate"/>
            </w:r>
            <w:r>
              <w:t>20</w:t>
            </w:r>
            <w:r>
              <w:fldChar w:fldCharType="end"/>
            </w:r>
          </w:hyperlink>
        </w:p>
        <w:p>
          <w:pPr>
            <w:pStyle w:val="11"/>
            <w:ind w:left="360"/>
            <w:tabs>
              <w:tab w:val="right" w:leader="dot" w:pos="9026"/>
            </w:tabs>
            <w:spacing w:before="120" w:after="60"/>
          </w:pPr>
          <w:hyperlink w:anchor="_Toc100036" w:history="1">
            <w:r>
              <w:rPr>
                <w:rStyle w:val="Hyperlink"/>
              </w:rPr>
              <w:t>17.3 Days 61–90: Monitor</w:t>
            </w:r>
            <w:r>
              <w:tab/>
            </w:r>
            <w:r>
              <w:fldChar w:fldCharType="begin"/>
            </w:r>
            <w:r>
              <w:instrText xml:space="preserve"> PAGEREF _Toc100036 \h </w:instrText>
            </w:r>
            <w:r>
              <w:fldChar w:fldCharType="separate"/>
            </w:r>
            <w:r>
              <w:t>21</w:t>
            </w:r>
            <w:r>
              <w:fldChar w:fldCharType="end"/>
            </w:r>
          </w:hyperlink>
        </w:p>
        <w:p>
          <w:pPr>
            <w:pStyle w:val="9"/>
            <w:tabs>
              <w:tab w:val="right" w:leader="dot" w:pos="9026"/>
            </w:tabs>
            <w:spacing w:before="120" w:after="60"/>
          </w:pPr>
          <w:hyperlink w:anchor="_Toc100037" w:history="1">
            <w:r>
              <w:rPr>
                <w:rStyle w:val="Hyperlink"/>
              </w:rPr>
              <w:t>18. Employee Training Program</w:t>
            </w:r>
            <w:r>
              <w:tab/>
            </w:r>
            <w:r>
              <w:fldChar w:fldCharType="begin"/>
            </w:r>
            <w:r>
              <w:instrText xml:space="preserve"> PAGEREF _Toc100037 \h </w:instrText>
            </w:r>
            <w:r>
              <w:fldChar w:fldCharType="separate"/>
            </w:r>
            <w:r>
              <w:t>22</w:t>
            </w:r>
            <w:r>
              <w:fldChar w:fldCharType="end"/>
            </w:r>
          </w:hyperlink>
        </w:p>
        <w:p>
          <w:pPr>
            <w:pStyle w:val="9"/>
            <w:tabs>
              <w:tab w:val="right" w:leader="dot" w:pos="9026"/>
            </w:tabs>
            <w:spacing w:before="120" w:after="60"/>
          </w:pPr>
          <w:hyperlink w:anchor="_Toc100038" w:history="1">
            <w:r>
              <w:rPr>
                <w:rStyle w:val="Hyperlink"/>
              </w:rPr>
              <w:t>19. Practical Training Exercises</w:t>
            </w:r>
            <w:r>
              <w:tab/>
            </w:r>
            <w:r>
              <w:fldChar w:fldCharType="begin"/>
            </w:r>
            <w:r>
              <w:instrText xml:space="preserve"> PAGEREF _Toc100038 \h </w:instrText>
            </w:r>
            <w:r>
              <w:fldChar w:fldCharType="separate"/>
            </w:r>
            <w:r>
              <w:t>23</w:t>
            </w:r>
            <w:r>
              <w:fldChar w:fldCharType="end"/>
            </w:r>
          </w:hyperlink>
        </w:p>
        <w:p>
          <w:pPr>
            <w:pStyle w:val="11"/>
            <w:ind w:left="360"/>
            <w:tabs>
              <w:tab w:val="right" w:leader="dot" w:pos="9026"/>
            </w:tabs>
            <w:spacing w:before="120" w:after="60"/>
          </w:pPr>
          <w:hyperlink w:anchor="_Toc100039" w:history="1">
            <w:r>
              <w:rPr>
                <w:rStyle w:val="Hyperlink"/>
              </w:rPr>
              <w:t>19.1 Exercise 1: Customer Dataset</w:t>
            </w:r>
            <w:r>
              <w:tab/>
            </w:r>
            <w:r>
              <w:fldChar w:fldCharType="begin"/>
            </w:r>
            <w:r>
              <w:instrText xml:space="preserve"> PAGEREF _Toc100039 \h </w:instrText>
            </w:r>
            <w:r>
              <w:fldChar w:fldCharType="separate"/>
            </w:r>
            <w:r>
              <w:t>23</w:t>
            </w:r>
            <w:r>
              <w:fldChar w:fldCharType="end"/>
            </w:r>
          </w:hyperlink>
        </w:p>
        <w:p>
          <w:pPr>
            <w:pStyle w:val="11"/>
            <w:ind w:left="360"/>
            <w:tabs>
              <w:tab w:val="right" w:leader="dot" w:pos="9026"/>
            </w:tabs>
            <w:spacing w:before="120" w:after="60"/>
          </w:pPr>
          <w:hyperlink w:anchor="_Toc100040" w:history="1">
            <w:r>
              <w:rPr>
                <w:rStyle w:val="Hyperlink"/>
              </w:rPr>
              <w:t>19.2 Exercise 2: AI Vendor Assessment</w:t>
            </w:r>
            <w:r>
              <w:tab/>
            </w:r>
            <w:r>
              <w:fldChar w:fldCharType="begin"/>
            </w:r>
            <w:r>
              <w:instrText xml:space="preserve"> PAGEREF _Toc100040 \h </w:instrText>
            </w:r>
            <w:r>
              <w:fldChar w:fldCharType="separate"/>
            </w:r>
            <w:r>
              <w:t>24</w:t>
            </w:r>
            <w:r>
              <w:fldChar w:fldCharType="end"/>
            </w:r>
          </w:hyperlink>
        </w:p>
        <w:p>
          <w:pPr>
            <w:pStyle w:val="9"/>
            <w:tabs>
              <w:tab w:val="right" w:leader="dot" w:pos="9026"/>
            </w:tabs>
            <w:spacing w:before="120" w:after="60"/>
          </w:pPr>
          <w:hyperlink w:anchor="_Toc100041" w:history="1">
            <w:r>
              <w:rPr>
                <w:rStyle w:val="Hyperlink"/>
              </w:rPr>
              <w:t>20. AI Governance Maturity Model</w:t>
            </w:r>
            <w:r>
              <w:tab/>
            </w:r>
            <w:r>
              <w:fldChar w:fldCharType="begin"/>
            </w:r>
            <w:r>
              <w:instrText xml:space="preserve"> PAGEREF _Toc100041 \h </w:instrText>
            </w:r>
            <w:r>
              <w:fldChar w:fldCharType="separate"/>
            </w:r>
            <w:r>
              <w:t>25</w:t>
            </w:r>
            <w:r>
              <w:fldChar w:fldCharType="end"/>
            </w:r>
          </w:hyperlink>
        </w:p>
        <w:p>
          <w:pPr>
            <w:pStyle w:val="9"/>
            <w:tabs>
              <w:tab w:val="right" w:leader="dot" w:pos="9026"/>
            </w:tabs>
            <w:spacing w:before="120" w:after="60"/>
          </w:pPr>
          <w:hyperlink w:anchor="_Toc100042" w:history="1">
            <w:r>
              <w:rPr>
                <w:rStyle w:val="Hyperlink"/>
              </w:rPr>
              <w:t>21. AI Governance KPIs</w:t>
            </w:r>
            <w:r>
              <w:tab/>
            </w:r>
            <w:r>
              <w:fldChar w:fldCharType="begin"/>
            </w:r>
            <w:r>
              <w:instrText xml:space="preserve"> PAGEREF _Toc100042 \h </w:instrText>
            </w:r>
            <w:r>
              <w:fldChar w:fldCharType="separate"/>
            </w:r>
            <w:r>
              <w:t>25</w:t>
            </w:r>
            <w:r>
              <w:fldChar w:fldCharType="end"/>
            </w:r>
          </w:hyperlink>
        </w:p>
        <w:p>
          <w:pPr>
            <w:pStyle w:val="9"/>
            <w:tabs>
              <w:tab w:val="right" w:leader="dot" w:pos="9026"/>
            </w:tabs>
            <w:spacing w:before="120" w:after="60"/>
          </w:pPr>
          <w:hyperlink w:anchor="_Toc100043" w:history="1">
            <w:r>
              <w:rPr>
                <w:rStyle w:val="Hyperlink"/>
              </w:rPr>
              <w:t>22. Standards &amp; Frameworks</w:t>
            </w:r>
            <w:r>
              <w:tab/>
            </w:r>
            <w:r>
              <w:fldChar w:fldCharType="begin"/>
            </w:r>
            <w:r>
              <w:instrText xml:space="preserve"> PAGEREF _Toc100043 \h </w:instrText>
            </w:r>
            <w:r>
              <w:fldChar w:fldCharType="separate"/>
            </w:r>
            <w:r>
              <w:t>26</w:t>
            </w:r>
            <w:r>
              <w:fldChar w:fldCharType="end"/>
            </w:r>
          </w:hyperlink>
        </w:p>
        <w:p>
          <w:pPr>
            <w:pStyle w:val="9"/>
            <w:tabs>
              <w:tab w:val="right" w:leader="dot" w:pos="9026"/>
            </w:tabs>
            <w:spacing w:before="120" w:after="60"/>
          </w:pPr>
          <w:hyperlink w:anchor="_Toc100044" w:history="1">
            <w:r>
              <w:rPr>
                <w:rStyle w:val="Hyperlink"/>
              </w:rPr>
              <w:t>23. Recommended AI Stack for Business Development &amp; Marketing</w:t>
            </w:r>
            <w:r>
              <w:tab/>
            </w:r>
            <w:r>
              <w:fldChar w:fldCharType="begin"/>
            </w:r>
            <w:r>
              <w:instrText xml:space="preserve"> PAGEREF _Toc100044 \h </w:instrText>
            </w:r>
            <w:r>
              <w:fldChar w:fldCharType="separate"/>
            </w:r>
            <w:r>
              <w:t>27</w:t>
            </w:r>
            <w:r>
              <w:fldChar w:fldCharType="end"/>
            </w:r>
          </w:hyperlink>
        </w:p>
        <w:p>
          <w:pPr>
            <w:pStyle w:val="9"/>
            <w:tabs>
              <w:tab w:val="right" w:leader="dot" w:pos="9026"/>
            </w:tabs>
            <w:spacing w:before="120" w:after="60"/>
          </w:pPr>
          <w:hyperlink w:anchor="_Toc100045" w:history="1">
            <w:r>
              <w:rPr>
                <w:rStyle w:val="Hyperlink"/>
              </w:rPr>
              <w:t>24. Corporate AI Governance Checklist</w:t>
            </w:r>
            <w:r>
              <w:tab/>
            </w:r>
            <w:r>
              <w:fldChar w:fldCharType="begin"/>
            </w:r>
            <w:r>
              <w:instrText xml:space="preserve"> PAGEREF _Toc100045 \h </w:instrText>
            </w:r>
            <w:r>
              <w:fldChar w:fldCharType="separate"/>
            </w:r>
            <w:r>
              <w:t>27</w:t>
            </w:r>
            <w:r>
              <w:fldChar w:fldCharType="end"/>
            </w:r>
          </w:hyperlink>
        </w:p>
        <w:p>
          <w:pPr>
            <w:pStyle w:val="9"/>
            <w:tabs>
              <w:tab w:val="right" w:leader="dot" w:pos="9026"/>
            </w:tabs>
            <w:spacing w:before="120" w:after="60"/>
          </w:pPr>
          <w:hyperlink w:anchor="_Toc100046" w:history="1">
            <w:r>
              <w:rPr>
                <w:rStyle w:val="Hyperlink"/>
              </w:rPr>
              <w:t>25. The 10 Golden Rules of Business AI</w:t>
            </w:r>
            <w:r>
              <w:tab/>
            </w:r>
            <w:r>
              <w:fldChar w:fldCharType="begin"/>
            </w:r>
            <w:r>
              <w:instrText xml:space="preserve"> PAGEREF _Toc100046 \h </w:instrText>
            </w:r>
            <w:r>
              <w:fldChar w:fldCharType="separate"/>
            </w:r>
            <w:r>
              <w:t>30</w:t>
            </w:r>
            <w:r>
              <w:fldChar w:fldCharType="end"/>
            </w:r>
          </w:hyperlink>
        </w:p>
        <w:p>
          <w:pPr>
            <w:pStyle w:val="9"/>
            <w:tabs>
              <w:tab w:val="right" w:leader="dot" w:pos="9026"/>
            </w:tabs>
            <w:spacing w:before="120" w:after="60"/>
          </w:pPr>
          <w:hyperlink w:anchor="_Toc100047" w:history="1">
            <w:r>
              <w:rPr>
                <w:rStyle w:val="Hyperlink"/>
              </w:rPr>
              <w:t>26. Documentation of Best Practices</w:t>
            </w:r>
            <w:r>
              <w:tab/>
            </w:r>
            <w:r>
              <w:fldChar w:fldCharType="begin"/>
            </w:r>
            <w:r>
              <w:instrText xml:space="preserve"> PAGEREF _Toc100047 \h </w:instrText>
            </w:r>
            <w:r>
              <w:fldChar w:fldCharType="separate"/>
            </w:r>
            <w:r>
              <w:t>31</w:t>
            </w:r>
            <w:r>
              <w:fldChar w:fldCharType="end"/>
            </w:r>
          </w:hyperlink>
        </w:p>
        <w:p>
          <w:pPr>
            <w:pStyle w:val="11"/>
            <w:ind w:left="360"/>
            <w:tabs>
              <w:tab w:val="right" w:leader="dot" w:pos="9026"/>
            </w:tabs>
            <w:spacing w:before="120" w:after="60"/>
          </w:pPr>
          <w:hyperlink w:anchor="_Toc100048" w:history="1">
            <w:r>
              <w:rPr>
                <w:rStyle w:val="Hyperlink"/>
              </w:rPr>
              <w:t>26.1 Code of Conduct for Daily AI Usage</w:t>
            </w:r>
            <w:r>
              <w:tab/>
            </w:r>
            <w:r>
              <w:fldChar w:fldCharType="begin"/>
            </w:r>
            <w:r>
              <w:instrText xml:space="preserve"> PAGEREF _Toc100048 \h </w:instrText>
            </w:r>
            <w:r>
              <w:fldChar w:fldCharType="separate"/>
            </w:r>
            <w:r>
              <w:t>31</w:t>
            </w:r>
            <w:r>
              <w:fldChar w:fldCharType="end"/>
            </w:r>
          </w:hyperlink>
        </w:p>
        <w:p>
          <w:pPr>
            <w:pStyle w:val="11"/>
            <w:ind w:left="360"/>
            <w:tabs>
              <w:tab w:val="right" w:leader="dot" w:pos="9026"/>
            </w:tabs>
            <w:spacing w:before="120" w:after="60"/>
          </w:pPr>
          <w:hyperlink w:anchor="_Toc100049" w:history="1">
            <w:r>
              <w:rPr>
                <w:rStyle w:val="Hyperlink"/>
              </w:rPr>
              <w:t>26.2 Prompt Engineering Best Practices</w:t>
            </w:r>
            <w:r>
              <w:tab/>
            </w:r>
            <w:r>
              <w:fldChar w:fldCharType="begin"/>
            </w:r>
            <w:r>
              <w:instrText xml:space="preserve"> PAGEREF _Toc100049 \h </w:instrText>
            </w:r>
            <w:r>
              <w:fldChar w:fldCharType="separate"/>
            </w:r>
            <w:r>
              <w:t>32</w:t>
            </w:r>
            <w:r>
              <w:fldChar w:fldCharType="end"/>
            </w:r>
          </w:hyperlink>
        </w:p>
        <w:p>
          <w:pPr>
            <w:pStyle w:val="11"/>
            <w:ind w:left="360"/>
            <w:tabs>
              <w:tab w:val="right" w:leader="dot" w:pos="9026"/>
            </w:tabs>
            <w:spacing w:before="120" w:after="60"/>
          </w:pPr>
          <w:hyperlink w:anchor="_Toc100050" w:history="1">
            <w:r>
              <w:rPr>
                <w:rStyle w:val="Hyperlink"/>
              </w:rPr>
              <w:t>26.3 Department-Specific Do's and Don'ts</w:t>
            </w:r>
            <w:r>
              <w:tab/>
            </w:r>
            <w:r>
              <w:fldChar w:fldCharType="begin"/>
            </w:r>
            <w:r>
              <w:instrText xml:space="preserve"> PAGEREF _Toc100050 \h </w:instrText>
            </w:r>
            <w:r>
              <w:fldChar w:fldCharType="separate"/>
            </w:r>
            <w:r>
              <w:t>33</w:t>
            </w:r>
            <w:r>
              <w:fldChar w:fldCharType="end"/>
            </w:r>
          </w:hyperlink>
        </w:p>
        <w:p>
          <w:pPr>
            <w:pStyle w:val="11"/>
            <w:ind w:left="360"/>
            <w:tabs>
              <w:tab w:val="right" w:leader="dot" w:pos="9026"/>
            </w:tabs>
            <w:spacing w:before="120" w:after="60"/>
          </w:pPr>
          <w:hyperlink w:anchor="_Toc100051" w:history="1">
            <w:r>
              <w:rPr>
                <w:rStyle w:val="Hyperlink"/>
              </w:rPr>
              <w:t>26.4 Communication and Disclosure Norms</w:t>
            </w:r>
            <w:r>
              <w:tab/>
            </w:r>
            <w:r>
              <w:fldChar w:fldCharType="begin"/>
            </w:r>
            <w:r>
              <w:instrText xml:space="preserve"> PAGEREF _Toc100051 \h </w:instrText>
            </w:r>
            <w:r>
              <w:fldChar w:fldCharType="separate"/>
            </w:r>
            <w:r>
              <w:t>34</w:t>
            </w:r>
            <w:r>
              <w:fldChar w:fldCharType="end"/>
            </w:r>
          </w:hyperlink>
        </w:p>
        <w:p>
          <w:pPr>
            <w:pStyle w:val="11"/>
            <w:ind w:left="360"/>
            <w:tabs>
              <w:tab w:val="right" w:leader="dot" w:pos="9026"/>
            </w:tabs>
            <w:spacing w:before="120" w:after="60"/>
          </w:pPr>
          <w:hyperlink w:anchor="_Toc100052" w:history="1">
            <w:r>
              <w:rPr>
                <w:rStyle w:val="Hyperlink"/>
              </w:rPr>
              <w:t>26.5 Documentation and Audit Trail</w:t>
            </w:r>
            <w:r>
              <w:tab/>
            </w:r>
            <w:r>
              <w:fldChar w:fldCharType="begin"/>
            </w:r>
            <w:r>
              <w:instrText xml:space="preserve"> PAGEREF _Toc100052 \h </w:instrText>
            </w:r>
            <w:r>
              <w:fldChar w:fldCharType="separate"/>
            </w:r>
            <w:r>
              <w:t>35</w:t>
            </w:r>
            <w:r>
              <w:fldChar w:fldCharType="end"/>
            </w:r>
          </w:hyperlink>
        </w:p>
        <w:p>
          <w:pPr>
            <w:pStyle w:val="11"/>
            <w:ind w:left="360"/>
            <w:tabs>
              <w:tab w:val="right" w:leader="dot" w:pos="9026"/>
            </w:tabs>
            <w:spacing w:before="120" w:after="60"/>
          </w:pPr>
          <w:hyperlink w:anchor="_Toc100053" w:history="1">
            <w:r>
              <w:rPr>
                <w:rStyle w:val="Hyperlink"/>
              </w:rPr>
              <w:t>26.6 Continuous Improvement Practices</w:t>
            </w:r>
            <w:r>
              <w:tab/>
            </w:r>
            <w:r>
              <w:fldChar w:fldCharType="begin"/>
            </w:r>
            <w:r>
              <w:instrText xml:space="preserve"> PAGEREF _Toc100053 \h </w:instrText>
            </w:r>
            <w:r>
              <w:fldChar w:fldCharType="separate"/>
            </w:r>
            <w:r>
              <w:t>35</w:t>
            </w:r>
            <w:r>
              <w:fldChar w:fldCharType="end"/>
            </w:r>
          </w:hyperlink>
        </w:p>
        <w:p>
          <w:pPr>
            <w:pStyle w:val="9"/>
            <w:tabs>
              <w:tab w:val="right" w:leader="dot" w:pos="9026"/>
            </w:tabs>
            <w:spacing w:before="120" w:after="60"/>
          </w:pPr>
          <w:hyperlink w:anchor="_Toc100054" w:history="1">
            <w:r>
              <w:rPr>
                <w:rStyle w:val="Hyperlink"/>
              </w:rPr>
              <w:t>27. Comprehensive AI Risk Management</w:t>
            </w:r>
            <w:r>
              <w:tab/>
            </w:r>
            <w:r>
              <w:fldChar w:fldCharType="begin"/>
            </w:r>
            <w:r>
              <w:instrText xml:space="preserve"> PAGEREF _Toc100054 \h </w:instrText>
            </w:r>
            <w:r>
              <w:fldChar w:fldCharType="separate"/>
            </w:r>
            <w:r>
              <w:t>36</w:t>
            </w:r>
            <w:r>
              <w:fldChar w:fldCharType="end"/>
            </w:r>
          </w:hyperlink>
        </w:p>
        <w:p>
          <w:pPr>
            <w:pStyle w:val="11"/>
            <w:ind w:left="360"/>
            <w:tabs>
              <w:tab w:val="right" w:leader="dot" w:pos="9026"/>
            </w:tabs>
            <w:spacing w:before="120" w:after="60"/>
          </w:pPr>
          <w:hyperlink w:anchor="_Toc100055" w:history="1">
            <w:r>
              <w:rPr>
                <w:rStyle w:val="Hyperlink"/>
              </w:rPr>
              <w:t>27.1 Enterprise Risk Taxonomy</w:t>
            </w:r>
            <w:r>
              <w:tab/>
            </w:r>
            <w:r>
              <w:fldChar w:fldCharType="begin"/>
            </w:r>
            <w:r>
              <w:instrText xml:space="preserve"> PAGEREF _Toc100055 \h </w:instrText>
            </w:r>
            <w:r>
              <w:fldChar w:fldCharType="separate"/>
            </w:r>
            <w:r>
              <w:t>37</w:t>
            </w:r>
            <w:r>
              <w:fldChar w:fldCharType="end"/>
            </w:r>
          </w:hyperlink>
        </w:p>
        <w:p>
          <w:pPr>
            <w:pStyle w:val="11"/>
            <w:ind w:left="360"/>
            <w:tabs>
              <w:tab w:val="right" w:leader="dot" w:pos="9026"/>
            </w:tabs>
            <w:spacing w:before="120" w:after="60"/>
          </w:pPr>
          <w:hyperlink w:anchor="_Toc100056" w:history="1">
            <w:r>
              <w:rPr>
                <w:rStyle w:val="Hyperlink"/>
              </w:rPr>
              <w:t>27.2 Risk Assessment Frameworks</w:t>
            </w:r>
            <w:r>
              <w:tab/>
            </w:r>
            <w:r>
              <w:fldChar w:fldCharType="begin"/>
            </w:r>
            <w:r>
              <w:instrText xml:space="preserve"> PAGEREF _Toc100056 \h </w:instrText>
            </w:r>
            <w:r>
              <w:fldChar w:fldCharType="separate"/>
            </w:r>
            <w:r>
              <w:t>37</w:t>
            </w:r>
            <w:r>
              <w:fldChar w:fldCharType="end"/>
            </w:r>
          </w:hyperlink>
        </w:p>
        <w:p>
          <w:pPr>
            <w:pStyle w:val="11"/>
            <w:ind w:left="360"/>
            <w:tabs>
              <w:tab w:val="right" w:leader="dot" w:pos="9026"/>
            </w:tabs>
            <w:spacing w:before="120" w:after="60"/>
          </w:pPr>
          <w:hyperlink w:anchor="_Toc100057" w:history="1">
            <w:r>
              <w:rPr>
                <w:rStyle w:val="Hyperlink"/>
              </w:rPr>
              <w:t>27.3 Likelihood × Impact Matrix</w:t>
            </w:r>
            <w:r>
              <w:tab/>
            </w:r>
            <w:r>
              <w:fldChar w:fldCharType="begin"/>
            </w:r>
            <w:r>
              <w:instrText xml:space="preserve"> PAGEREF _Toc100057 \h </w:instrText>
            </w:r>
            <w:r>
              <w:fldChar w:fldCharType="separate"/>
            </w:r>
            <w:r>
              <w:t>38</w:t>
            </w:r>
            <w:r>
              <w:fldChar w:fldCharType="end"/>
            </w:r>
          </w:hyperlink>
        </w:p>
        <w:p>
          <w:pPr>
            <w:pStyle w:val="11"/>
            <w:ind w:left="360"/>
            <w:tabs>
              <w:tab w:val="right" w:leader="dot" w:pos="9026"/>
            </w:tabs>
            <w:spacing w:before="120" w:after="60"/>
          </w:pPr>
          <w:hyperlink w:anchor="_Toc100058" w:history="1">
            <w:r>
              <w:rPr>
                <w:rStyle w:val="Hyperlink"/>
              </w:rPr>
              <w:t>27.4 Risk Treatment Options</w:t>
            </w:r>
            <w:r>
              <w:tab/>
            </w:r>
            <w:r>
              <w:fldChar w:fldCharType="begin"/>
            </w:r>
            <w:r>
              <w:instrText xml:space="preserve"> PAGEREF _Toc100058 \h </w:instrText>
            </w:r>
            <w:r>
              <w:fldChar w:fldCharType="separate"/>
            </w:r>
            <w:r>
              <w:t>38</w:t>
            </w:r>
            <w:r>
              <w:fldChar w:fldCharType="end"/>
            </w:r>
          </w:hyperlink>
        </w:p>
        <w:p>
          <w:pPr>
            <w:pStyle w:val="11"/>
            <w:ind w:left="360"/>
            <w:tabs>
              <w:tab w:val="right" w:leader="dot" w:pos="9026"/>
            </w:tabs>
            <w:spacing w:before="120" w:after="60"/>
          </w:pPr>
          <w:hyperlink w:anchor="_Toc100059" w:history="1">
            <w:r>
              <w:rPr>
                <w:rStyle w:val="Hyperlink"/>
              </w:rPr>
              <w:t>27.5 Risk Register Template</w:t>
            </w:r>
            <w:r>
              <w:tab/>
            </w:r>
            <w:r>
              <w:fldChar w:fldCharType="begin"/>
            </w:r>
            <w:r>
              <w:instrText xml:space="preserve"> PAGEREF _Toc100059 \h </w:instrText>
            </w:r>
            <w:r>
              <w:fldChar w:fldCharType="separate"/>
            </w:r>
            <w:r>
              <w:t>39</w:t>
            </w:r>
            <w:r>
              <w:fldChar w:fldCharType="end"/>
            </w:r>
          </w:hyperlink>
        </w:p>
        <w:p>
          <w:pPr>
            <w:pStyle w:val="11"/>
            <w:ind w:left="360"/>
            <w:tabs>
              <w:tab w:val="right" w:leader="dot" w:pos="9026"/>
            </w:tabs>
            <w:spacing w:before="120" w:after="60"/>
          </w:pPr>
          <w:hyperlink w:anchor="_Toc100060" w:history="1">
            <w:r>
              <w:rPr>
                <w:rStyle w:val="Hyperlink"/>
              </w:rPr>
              <w:t>27.6 Continuous Monitoring and Key Risk Indicators</w:t>
            </w:r>
            <w:r>
              <w:tab/>
            </w:r>
            <w:r>
              <w:fldChar w:fldCharType="begin"/>
            </w:r>
            <w:r>
              <w:instrText xml:space="preserve"> PAGEREF _Toc100060 \h </w:instrText>
            </w:r>
            <w:r>
              <w:fldChar w:fldCharType="separate"/>
            </w:r>
            <w:r>
              <w:t>39</w:t>
            </w:r>
            <w:r>
              <w:fldChar w:fldCharType="end"/>
            </w:r>
          </w:hyperlink>
        </w:p>
        <w:p>
          <w:pPr>
            <w:pStyle w:val="11"/>
            <w:ind w:left="360"/>
            <w:tabs>
              <w:tab w:val="right" w:leader="dot" w:pos="9026"/>
            </w:tabs>
            <w:spacing w:before="120" w:after="60"/>
          </w:pPr>
          <w:hyperlink w:anchor="_Toc100061" w:history="1">
            <w:r>
              <w:rPr>
                <w:rStyle w:val="Hyperlink"/>
              </w:rPr>
              <w:t>27.7 Emerging Risk Categories</w:t>
            </w:r>
            <w:r>
              <w:tab/>
            </w:r>
            <w:r>
              <w:fldChar w:fldCharType="begin"/>
            </w:r>
            <w:r>
              <w:instrText xml:space="preserve"> PAGEREF _Toc100061 \h </w:instrText>
            </w:r>
            <w:r>
              <w:fldChar w:fldCharType="separate"/>
            </w:r>
            <w:r>
              <w:t>40</w:t>
            </w:r>
            <w:r>
              <w:fldChar w:fldCharType="end"/>
            </w:r>
          </w:hyperlink>
        </w:p>
        <w:p>
          <w:pPr>
            <w:pStyle w:val="9"/>
            <w:tabs>
              <w:tab w:val="right" w:leader="dot" w:pos="9026"/>
            </w:tabs>
            <w:spacing w:before="120" w:after="60"/>
          </w:pPr>
          <w:hyperlink w:anchor="_Toc100062" w:history="1">
            <w:r>
              <w:rPr>
                <w:rStyle w:val="Hyperlink"/>
              </w:rPr>
              <w:t>28. Future AI Platform Trends</w:t>
            </w:r>
            <w:r>
              <w:tab/>
            </w:r>
            <w:r>
              <w:fldChar w:fldCharType="begin"/>
            </w:r>
            <w:r>
              <w:instrText xml:space="preserve"> PAGEREF _Toc100062 \h </w:instrText>
            </w:r>
            <w:r>
              <w:fldChar w:fldCharType="separate"/>
            </w:r>
            <w:r>
              <w:t>41</w:t>
            </w:r>
            <w:r>
              <w:fldChar w:fldCharType="end"/>
            </w:r>
          </w:hyperlink>
        </w:p>
        <w:p>
          <w:pPr>
            <w:pStyle w:val="11"/>
            <w:ind w:left="360"/>
            <w:tabs>
              <w:tab w:val="right" w:leader="dot" w:pos="9026"/>
            </w:tabs>
            <w:spacing w:before="120" w:after="60"/>
          </w:pPr>
          <w:hyperlink w:anchor="_Toc100063" w:history="1">
            <w:r>
              <w:rPr>
                <w:rStyle w:val="Hyperlink"/>
              </w:rPr>
              <w:t>28.1 The Rise of Agentic AI and Autonomous Systems</w:t>
            </w:r>
            <w:r>
              <w:tab/>
            </w:r>
            <w:r>
              <w:fldChar w:fldCharType="begin"/>
            </w:r>
            <w:r>
              <w:instrText xml:space="preserve"> PAGEREF _Toc100063 \h </w:instrText>
            </w:r>
            <w:r>
              <w:fldChar w:fldCharType="separate"/>
            </w:r>
            <w:r>
              <w:t>42</w:t>
            </w:r>
            <w:r>
              <w:fldChar w:fldCharType="end"/>
            </w:r>
          </w:hyperlink>
        </w:p>
        <w:p>
          <w:pPr>
            <w:pStyle w:val="11"/>
            <w:ind w:left="360"/>
            <w:tabs>
              <w:tab w:val="right" w:leader="dot" w:pos="9026"/>
            </w:tabs>
            <w:spacing w:before="120" w:after="60"/>
          </w:pPr>
          <w:hyperlink w:anchor="_Toc100064" w:history="1">
            <w:r>
              <w:rPr>
                <w:rStyle w:val="Hyperlink"/>
              </w:rPr>
              <w:t>28.2 Multi-Agent Orchestration</w:t>
            </w:r>
            <w:r>
              <w:tab/>
            </w:r>
            <w:r>
              <w:fldChar w:fldCharType="begin"/>
            </w:r>
            <w:r>
              <w:instrText xml:space="preserve"> PAGEREF _Toc100064 \h </w:instrText>
            </w:r>
            <w:r>
              <w:fldChar w:fldCharType="separate"/>
            </w:r>
            <w:r>
              <w:t>42</w:t>
            </w:r>
            <w:r>
              <w:fldChar w:fldCharType="end"/>
            </w:r>
          </w:hyperlink>
        </w:p>
        <w:p>
          <w:pPr>
            <w:pStyle w:val="11"/>
            <w:ind w:left="360"/>
            <w:tabs>
              <w:tab w:val="right" w:leader="dot" w:pos="9026"/>
            </w:tabs>
            <w:spacing w:before="120" w:after="60"/>
          </w:pPr>
          <w:hyperlink w:anchor="_Toc100065" w:history="1">
            <w:r>
              <w:rPr>
                <w:rStyle w:val="Hyperlink"/>
              </w:rPr>
              <w:t>28.3 Model Context Protocol (MCP) and Standardized Tool Integration</w:t>
            </w:r>
            <w:r>
              <w:tab/>
            </w:r>
            <w:r>
              <w:fldChar w:fldCharType="begin"/>
            </w:r>
            <w:r>
              <w:instrText xml:space="preserve"> PAGEREF _Toc100065 \h </w:instrText>
            </w:r>
            <w:r>
              <w:fldChar w:fldCharType="separate"/>
            </w:r>
            <w:r>
              <w:t>42</w:t>
            </w:r>
            <w:r>
              <w:fldChar w:fldCharType="end"/>
            </w:r>
          </w:hyperlink>
        </w:p>
        <w:p>
          <w:pPr>
            <w:pStyle w:val="11"/>
            <w:ind w:left="360"/>
            <w:tabs>
              <w:tab w:val="right" w:leader="dot" w:pos="9026"/>
            </w:tabs>
            <w:spacing w:before="120" w:after="60"/>
          </w:pPr>
          <w:hyperlink w:anchor="_Toc100066" w:history="1">
            <w:r>
              <w:rPr>
                <w:rStyle w:val="Hyperlink"/>
              </w:rPr>
              <w:t>28.4 Tool-Use AI and Function-Calling Evolution</w:t>
            </w:r>
            <w:r>
              <w:tab/>
            </w:r>
            <w:r>
              <w:fldChar w:fldCharType="begin"/>
            </w:r>
            <w:r>
              <w:instrText xml:space="preserve"> PAGEREF _Toc100066 \h </w:instrText>
            </w:r>
            <w:r>
              <w:fldChar w:fldCharType="separate"/>
            </w:r>
            <w:r>
              <w:t>43</w:t>
            </w:r>
            <w:r>
              <w:fldChar w:fldCharType="end"/>
            </w:r>
          </w:hyperlink>
        </w:p>
        <w:p>
          <w:pPr>
            <w:pStyle w:val="11"/>
            <w:ind w:left="360"/>
            <w:tabs>
              <w:tab w:val="right" w:leader="dot" w:pos="9026"/>
            </w:tabs>
            <w:spacing w:before="120" w:after="60"/>
          </w:pPr>
          <w:hyperlink w:anchor="_Toc100067" w:history="1">
            <w:r>
              <w:rPr>
                <w:rStyle w:val="Hyperlink"/>
              </w:rPr>
              <w:t>28.5 Governance Implications of Autonomous AI</w:t>
            </w:r>
            <w:r>
              <w:tab/>
            </w:r>
            <w:r>
              <w:fldChar w:fldCharType="begin"/>
            </w:r>
            <w:r>
              <w:instrText xml:space="preserve"> PAGEREF _Toc100067 \h </w:instrText>
            </w:r>
            <w:r>
              <w:fldChar w:fldCharType="separate"/>
            </w:r>
            <w:r>
              <w:t>43</w:t>
            </w:r>
            <w:r>
              <w:fldChar w:fldCharType="end"/>
            </w:r>
          </w:hyperlink>
        </w:p>
        <w:p>
          <w:pPr>
            <w:pStyle w:val="11"/>
            <w:ind w:left="360"/>
            <w:tabs>
              <w:tab w:val="right" w:leader="dot" w:pos="9026"/>
            </w:tabs>
            <w:spacing w:before="120" w:after="60"/>
          </w:pPr>
          <w:hyperlink w:anchor="_Toc100068" w:history="1">
            <w:r>
              <w:rPr>
                <w:rStyle w:val="Hyperlink"/>
              </w:rPr>
              <w:t>28.6 Strategic Recommendations for the Next 24 Months</w:t>
            </w:r>
            <w:r>
              <w:tab/>
            </w:r>
            <w:r>
              <w:fldChar w:fldCharType="begin"/>
            </w:r>
            <w:r>
              <w:instrText xml:space="preserve"> PAGEREF _Toc100068 \h </w:instrText>
            </w:r>
            <w:r>
              <w:fldChar w:fldCharType="separate"/>
            </w:r>
            <w:r>
              <w:t>44</w:t>
            </w:r>
            <w:r>
              <w:fldChar w:fldCharType="end"/>
            </w:r>
          </w:hyperlink>
        </w:p>
        <w:p>
          <w:pPr>
            <w:pStyle w:val="9"/>
            <w:tabs>
              <w:tab w:val="right" w:leader="dot" w:pos="9026"/>
            </w:tabs>
            <w:spacing w:before="120" w:after="60"/>
          </w:pPr>
          <w:hyperlink w:anchor="_Toc100069" w:history="1">
            <w:r>
              <w:rPr>
                <w:rStyle w:val="Hyperlink"/>
              </w:rPr>
              <w:t>29. Executive Conclusion</w:t>
            </w:r>
            <w:r>
              <w:tab/>
            </w:r>
            <w:r>
              <w:fldChar w:fldCharType="begin"/>
            </w:r>
            <w:r>
              <w:instrText xml:space="preserve"> PAGEREF _Toc100069 \h </w:instrText>
            </w:r>
            <w:r>
              <w:fldChar w:fldCharType="separate"/>
            </w:r>
            <w:r>
              <w:t>45</w:t>
            </w:r>
            <w:r>
              <w:fldChar w:fldCharType="end"/>
            </w:r>
          </w:hyperlink>
        </w:p>
        <w:p>
          <w:r>
            <w:fldChar w:fldCharType="end"/>
          </w:r>
        </w:p>
      </w:sdtContent>
    </w:sdt>
    <w:p>
      <w:pPr>
        <w:spacing w:before="200"/>
      </w:pPr>
      <w:r>
        <w:rPr>
          <w:rFonts w:ascii="Times New Roman"/>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Calibri"/>
          <w:b/>
          <w:bCs/>
          <w:color w:val="0B1C2C"/>
          <w:sz w:val="32"/>
          <w:szCs w:val="32"/>
        </w:rPr>
        <w:t xml:space="preserve">1. Executive Summary</w:t>
      </w:r>
      <w:bookmarkEnd w:id="100000"/>
    </w:p>
    <w:p>
      <w:pPr>
        <w:spacing w:after="100" w:line="312"/>
        <w:ind w:firstLine="480"/>
        <w:jc w:val="both"/>
      </w:pPr>
      <w:r>
        <w:rPr>
          <w:rFonts w:ascii="Times New Roman"/>
          <w:color w:val="1A1A1A"/>
          <w:sz w:val="24"/>
          <w:szCs w:val="24"/>
        </w:rPr>
        <w:t xml:space="preserve">Artificial Intelligence is rapidly becoming part of everyday business operations. Organizations use AI for marketing, sales, customer support, data analysis, software development, human resources, finance, research, document processing, content creation, decision support and automation. The pace of adoption has been accelerated by the wide availability of generative AI assistants, the integration of AI capabilities into existing enterprise software, and the rapid emergence of AI-native productivity tools. As a result, AI is no longer a specialized capability owned by a single team — it is now a general-purpose technology used across almost every business function.</w:t>
      </w:r>
    </w:p>
    <w:p>
      <w:pPr>
        <w:spacing w:after="100" w:line="312"/>
        <w:ind w:firstLine="480"/>
        <w:jc w:val="both"/>
      </w:pPr>
      <w:r>
        <w:rPr>
          <w:rFonts w:ascii="Times New Roman"/>
          <w:color w:val="1A1A1A"/>
          <w:sz w:val="24"/>
          <w:szCs w:val="24"/>
        </w:rPr>
        <w:t xml:space="preserve">However, simply providing employees with AI tools does not create a secure AI environment. Organizations need clear rules for approved tools, acceptable data, accountability, vendor assessment, human oversight, monitoring and incident response. Without these controls, AI usage migrates to unapproved consumer tools ("shadow AI"), confidential information is exposed to third-party model providers, and the organization loses the ability to audit, explain or correct AI-influenced decisions. The governance gap is therefore both a security risk and a business risk.</w:t>
      </w:r>
    </w:p>
    <w:p>
      <w:pPr>
        <w:spacing w:after="100" w:line="312"/>
        <w:ind w:firstLine="480"/>
        <w:jc w:val="both"/>
      </w:pPr>
      <w:r>
        <w:rPr>
          <w:rFonts w:ascii="Times New Roman"/>
          <w:color w:val="1A1A1A"/>
          <w:sz w:val="24"/>
          <w:szCs w:val="24"/>
        </w:rPr>
        <w:t xml:space="preserve">AI Governance is the operating model that enables employees to use AI productively while managing security, privacy, legal, ethical, quality and operational risks. It is built on a simple formula — Rules + People + Processes + Technology + Monitoring — and is delivered through policies, training, controls and a governance committee that owns the program end-to-end. This guide describes how to stand that program up in ninety days, mature it over the following year, and prepare it for the agentic AI platforms that are now coming to market.</w:t>
      </w:r>
    </w:p>
    <w:p>
      <w:pPr>
        <w:pStyle w:val="Heading1"/>
        <w:spacing w:after="160" w:before="360" w:line="312"/>
      </w:pPr>
      <w:bookmarkStart w:id="100001" w:name="_Toc100001"/>
      <w:r>
        <w:rPr>
          <w:rFonts w:ascii="Calibri"/>
          <w:b/>
          <w:bCs/>
          <w:color w:val="0B1C2C"/>
          <w:sz w:val="32"/>
          <w:szCs w:val="32"/>
        </w:rPr>
        <w:t xml:space="preserve">2. What Is AI Governance?</w:t>
      </w:r>
      <w:bookmarkEnd w:id="100001"/>
    </w:p>
    <w:p>
      <w:pPr>
        <w:spacing w:after="100" w:line="312"/>
        <w:ind w:firstLine="480"/>
        <w:jc w:val="both"/>
      </w:pPr>
      <w:r>
        <w:rPr>
          <w:rFonts w:ascii="Times New Roman"/>
          <w:color w:val="1A1A1A"/>
          <w:sz w:val="24"/>
          <w:szCs w:val="24"/>
        </w:rPr>
        <w:t xml:space="preserve">AI Governance is the system of policies, processes, controls, responsibilities and technologies an organization uses to ensure AI is used safely, responsibly, securely, legally and effectively. It is not a single product, a single team or a one-time project. It is an operating model that brings together the people, processes and technology required to make AI usage visible, accountable and improvable across the organization.</w:t>
      </w:r>
    </w:p>
    <w:p>
      <w:pPr>
        <w:spacing w:after="100" w:line="312"/>
        <w:ind w:firstLine="480"/>
        <w:jc w:val="both"/>
      </w:pPr>
      <w:r>
        <w:rPr>
          <w:rFonts w:ascii="Times New Roman"/>
          <w:color w:val="1A1A1A"/>
          <w:sz w:val="24"/>
          <w:szCs w:val="24"/>
        </w:rPr>
        <w:t xml:space="preserve">A simple formula captures the structure:</w:t>
      </w:r>
    </w:p>
    <w:p>
      <w:pPr>
        <w:spacing w:after="160" w:before="160" w:line="312"/>
        <w:jc w:val="center"/>
      </w:pPr>
      <w:r>
        <w:rPr>
          <w:rFonts w:ascii="Times New Roman"/>
          <w:i/>
          <w:iCs/>
          <w:color w:val="529286"/>
          <w:sz w:val="24"/>
          <w:szCs w:val="24"/>
        </w:rPr>
        <w:t xml:space="preserve">AI Governance = Rules + People + Processes + Technology + Monitoring</w:t>
      </w:r>
    </w:p>
    <w:p>
      <w:pPr>
        <w:spacing w:after="100" w:line="312"/>
        <w:ind w:firstLine="480"/>
        <w:jc w:val="both"/>
      </w:pPr>
      <w:r>
        <w:rPr>
          <w:rFonts w:ascii="Times New Roman"/>
          <w:color w:val="1A1A1A"/>
          <w:sz w:val="24"/>
          <w:szCs w:val="24"/>
        </w:rPr>
        <w:t xml:space="preserve">Each component is essential. Rules define what is and is not permitted. People are accountable for decisions and outcomes. Processes translate rules into repeatable workflows. Technology enforces controls and surfaces evidence. Monitoring closes the loop, measuring whether the program is working and where it needs to evolve. Remove any one element and the program becomes reactive rather than preventive.</w:t>
      </w:r>
    </w:p>
    <w:p>
      <w:pPr>
        <w:pStyle w:val="Heading1"/>
        <w:spacing w:after="160" w:before="360" w:line="312"/>
      </w:pPr>
      <w:bookmarkStart w:id="100002" w:name="_Toc100002"/>
      <w:r>
        <w:rPr>
          <w:rFonts w:ascii="Calibri"/>
          <w:b/>
          <w:bCs/>
          <w:color w:val="0B1C2C"/>
          <w:sz w:val="32"/>
          <w:szCs w:val="32"/>
        </w:rPr>
        <w:t xml:space="preserve">3. Why Businesses Need AI Governance</w:t>
      </w:r>
      <w:bookmarkEnd w:id="100002"/>
    </w:p>
    <w:p>
      <w:pPr>
        <w:spacing w:after="100" w:line="312"/>
        <w:ind w:firstLine="480"/>
        <w:jc w:val="both"/>
      </w:pPr>
      <w:r>
        <w:rPr>
          <w:rFonts w:ascii="Times New Roman"/>
          <w:color w:val="1A1A1A"/>
          <w:sz w:val="24"/>
          <w:szCs w:val="24"/>
        </w:rPr>
        <w:t xml:space="preserve">Example: an employee uploads a confidential customer database to an unapproved AI service to perform segmentation. The analysis may be useful, but the organization must ask where the data is processed, whether it is retained, whether it is used for model training, who can access it, whether contractual and privacy requirements are met, and whether the activity can be audited. If any of these questions cannot be answered affirmatively, the organization has effectively lost control of that data and may have created legal, regulatory and reputational exposure.</w:t>
      </w:r>
    </w:p>
    <w:p>
      <w:pPr>
        <w:spacing w:after="100" w:line="312"/>
        <w:ind w:firstLine="480"/>
        <w:jc w:val="both"/>
      </w:pPr>
      <w:r>
        <w:rPr>
          <w:rFonts w:ascii="Times New Roman"/>
          <w:color w:val="1A1A1A"/>
          <w:sz w:val="24"/>
          <w:szCs w:val="24"/>
        </w:rPr>
        <w:t xml:space="preserve">AI governance addresses these questions before and during AI adoption. It creates a clear inventory of approved tools, classifies the data that may be used with each tool, defines the controls that must be in place, and assigns owners who are accountable for outcomes. It also establishes the monitoring and incident response processes that allow the organization to detect and correct problems quickly, before they escalate into reportable events.</w:t>
      </w:r>
    </w:p>
    <w:p>
      <w:pPr>
        <w:spacing w:after="100" w:line="312"/>
        <w:ind w:firstLine="480"/>
        <w:jc w:val="both"/>
      </w:pPr>
      <w:r>
        <w:rPr>
          <w:rFonts w:ascii="Times New Roman"/>
          <w:color w:val="1A1A1A"/>
          <w:sz w:val="24"/>
          <w:szCs w:val="24"/>
        </w:rPr>
        <w:t xml:space="preserve">The business case for AI governance is therefore not only defensive. A well-governed organization can move faster than a poorly-governed one, because employees know what is permitted, vendors are pre-vetted, and high-risk use cases are reviewed before they are deployed rather than after they fail. Governance becomes an enabler of speed, not a brake on it.</w:t>
      </w:r>
    </w:p>
    <w:p>
      <w:pPr>
        <w:pStyle w:val="Heading1"/>
        <w:spacing w:after="160" w:before="360" w:line="312"/>
      </w:pPr>
      <w:bookmarkStart w:id="100003" w:name="_Toc100003"/>
      <w:r>
        <w:rPr>
          <w:rFonts w:ascii="Calibri"/>
          <w:b/>
          <w:bCs/>
          <w:color w:val="0B1C2C"/>
          <w:sz w:val="32"/>
          <w:szCs w:val="32"/>
        </w:rPr>
        <w:t xml:space="preserve">4. AI Governance Framework</w:t>
      </w:r>
      <w:bookmarkEnd w:id="100003"/>
    </w:p>
    <w:p>
      <w:pPr>
        <w:spacing w:after="100" w:line="312"/>
        <w:ind w:firstLine="480"/>
        <w:jc w:val="both"/>
      </w:pPr>
      <w:r>
        <w:rPr>
          <w:rFonts w:ascii="Times New Roman"/>
          <w:color w:val="1A1A1A"/>
          <w:sz w:val="24"/>
          <w:szCs w:val="24"/>
        </w:rPr>
        <w:t xml:space="preserve">A practical framework can be built around eight pillars that together cover the full lifecycle of AI adoption. Each pillar defines an area of responsibility, a set of expected outcomes and a set of controls. The pillars are not stages — they operate in parallel and reinforce each other.</w:t>
      </w:r>
    </w:p>
    <w:p>
      <w:pPr>
        <w:pStyle w:val="ListParagraph"/>
        <w:numPr>
          <w:ilvl w:val="0"/>
          <w:numId w:val="1"/>
        </w:numPr>
        <w:spacing w:after="60" w:line="312"/>
      </w:pPr>
      <w:r>
        <w:rPr>
          <w:rFonts w:ascii="Times New Roman"/>
          <w:color w:val="1A1A1A"/>
          <w:sz w:val="24"/>
          <w:szCs w:val="24"/>
        </w:rPr>
        <w:t xml:space="preserve">AI Strategy — alignment of AI investment with business objectives, risk appetite and the organization's overall digital strategy.</w:t>
      </w:r>
    </w:p>
    <w:p>
      <w:pPr>
        <w:pStyle w:val="ListParagraph"/>
        <w:numPr>
          <w:ilvl w:val="0"/>
          <w:numId w:val="1"/>
        </w:numPr>
        <w:spacing w:after="60" w:line="312"/>
      </w:pPr>
      <w:r>
        <w:rPr>
          <w:rFonts w:ascii="Times New Roman"/>
          <w:color w:val="1A1A1A"/>
          <w:sz w:val="24"/>
          <w:szCs w:val="24"/>
        </w:rPr>
        <w:t xml:space="preserve">AI Risk Management — identification, assessment, treatment and monitoring of risks across data, security, privacy, legal, operational, ethical, financial and reputational dimensions.</w:t>
      </w:r>
    </w:p>
    <w:p>
      <w:pPr>
        <w:pStyle w:val="ListParagraph"/>
        <w:numPr>
          <w:ilvl w:val="0"/>
          <w:numId w:val="1"/>
        </w:numPr>
        <w:spacing w:after="60" w:line="312"/>
      </w:pPr>
      <w:r>
        <w:rPr>
          <w:rFonts w:ascii="Times New Roman"/>
          <w:color w:val="1A1A1A"/>
          <w:sz w:val="24"/>
          <w:szCs w:val="24"/>
        </w:rPr>
        <w:t xml:space="preserve">Data Privacy &amp; Security — classification of data, controls on what may be processed by AI, and protections against leakage, misuse and unauthorized retention.</w:t>
      </w:r>
    </w:p>
    <w:p>
      <w:pPr>
        <w:pStyle w:val="ListParagraph"/>
        <w:numPr>
          <w:ilvl w:val="0"/>
          <w:numId w:val="1"/>
        </w:numPr>
        <w:spacing w:after="60" w:line="312"/>
      </w:pPr>
      <w:r>
        <w:rPr>
          <w:rFonts w:ascii="Times New Roman"/>
          <w:color w:val="1A1A1A"/>
          <w:sz w:val="24"/>
          <w:szCs w:val="24"/>
        </w:rPr>
        <w:t xml:space="preserve">Responsible AI — fairness, transparency, accountability and human oversight over AI-influenced decisions, particularly those affecting individuals.</w:t>
      </w:r>
    </w:p>
    <w:p>
      <w:pPr>
        <w:pStyle w:val="ListParagraph"/>
        <w:numPr>
          <w:ilvl w:val="0"/>
          <w:numId w:val="1"/>
        </w:numPr>
        <w:spacing w:after="60" w:line="312"/>
      </w:pPr>
      <w:r>
        <w:rPr>
          <w:rFonts w:ascii="Times New Roman"/>
          <w:color w:val="1A1A1A"/>
          <w:sz w:val="24"/>
          <w:szCs w:val="24"/>
        </w:rPr>
        <w:t xml:space="preserve">Vendor &amp; Tool Governance — approval, contracting, onboarding and ongoing assessment of all third-party AI providers and tools.</w:t>
      </w:r>
    </w:p>
    <w:p>
      <w:pPr>
        <w:pStyle w:val="ListParagraph"/>
        <w:numPr>
          <w:ilvl w:val="0"/>
          <w:numId w:val="1"/>
        </w:numPr>
        <w:spacing w:after="60" w:line="312"/>
      </w:pPr>
      <w:r>
        <w:rPr>
          <w:rFonts w:ascii="Times New Roman"/>
          <w:color w:val="1A1A1A"/>
          <w:sz w:val="24"/>
          <w:szCs w:val="24"/>
        </w:rPr>
        <w:t xml:space="preserve">Human Oversight — clear escalation paths, human-in-the-loop checkpoints for consequential decisions, and the explicit authority to override AI output.</w:t>
      </w:r>
    </w:p>
    <w:p>
      <w:pPr>
        <w:pStyle w:val="ListParagraph"/>
        <w:numPr>
          <w:ilvl w:val="0"/>
          <w:numId w:val="1"/>
        </w:numPr>
        <w:spacing w:after="60" w:line="312"/>
      </w:pPr>
      <w:r>
        <w:rPr>
          <w:rFonts w:ascii="Times New Roman"/>
          <w:color w:val="1A1A1A"/>
          <w:sz w:val="24"/>
          <w:szCs w:val="24"/>
        </w:rPr>
        <w:t xml:space="preserve">AI Policies &amp; Training — written policies, codes of conduct and ongoing training programs that translate governance into daily behavior.</w:t>
      </w:r>
    </w:p>
    <w:p>
      <w:pPr>
        <w:pStyle w:val="ListParagraph"/>
        <w:numPr>
          <w:ilvl w:val="0"/>
          <w:numId w:val="1"/>
        </w:numPr>
        <w:spacing w:after="60" w:line="312"/>
      </w:pPr>
      <w:r>
        <w:rPr>
          <w:rFonts w:ascii="Times New Roman"/>
          <w:color w:val="1A1A1A"/>
          <w:sz w:val="24"/>
          <w:szCs w:val="24"/>
        </w:rPr>
        <w:t xml:space="preserve">Monitoring &amp; Incident Management — continuous monitoring of usage, risks and outcomes, and a defined response process for AI-related incidents.</w:t>
      </w:r>
    </w:p>
    <w:p>
      <w:pPr>
        <w:spacing w:after="100" w:line="312"/>
        <w:ind w:firstLine="480"/>
        <w:jc w:val="both"/>
      </w:pPr>
      <w:r>
        <w:rPr>
          <w:rFonts w:ascii="Times New Roman"/>
          <w:color w:val="1A1A1A"/>
          <w:sz w:val="24"/>
          <w:szCs w:val="24"/>
        </w:rPr>
        <w:t xml:space="preserve">Sections 5 through 16 of this guide translate each pillar into concrete tools, processes and controls. Sections 17 through 25 then describe how to implement, mature and measure the program. The three new sections at the end of this guide (26 through 28) extend the framework to cover operational best practices, enterprise-grade risk management, and the agentic AI platforms that will reshape the governance landscape over the next two years.</w:t>
      </w:r>
    </w:p>
    <w:p>
      <w:pPr>
        <w:pStyle w:val="Heading1"/>
        <w:spacing w:after="160" w:before="360" w:line="312"/>
      </w:pPr>
      <w:bookmarkStart w:id="100004" w:name="_Toc100004"/>
      <w:r>
        <w:rPr>
          <w:rFonts w:ascii="Calibri"/>
          <w:b/>
          <w:bCs/>
          <w:color w:val="0B1C2C"/>
          <w:sz w:val="32"/>
          <w:szCs w:val="32"/>
        </w:rPr>
        <w:t xml:space="preserve">5. AI Governance Tools</w:t>
      </w:r>
      <w:bookmarkEnd w:id="100004"/>
    </w:p>
    <w:p>
      <w:pPr>
        <w:spacing w:after="100" w:line="312"/>
        <w:ind w:firstLine="480"/>
        <w:jc w:val="both"/>
      </w:pPr>
      <w:r>
        <w:rPr>
          <w:rFonts w:ascii="Times New Roman"/>
          <w:color w:val="1A1A1A"/>
          <w:sz w:val="24"/>
          <w:szCs w:val="24"/>
        </w:rPr>
        <w:t xml:space="preserve">An AI governance program normally requires a combination of technologies rather than one universal product. Most organizations already own several of the underlying capabilities (identity, access, DLP, SIEM) and need to extend them to cover AI-specific risks. The table below summarizes the principal technology categories, their purpose and typical capabilities.</w:t>
      </w:r>
    </w:p>
    <w:p>
      <w:pPr>
        <w:keepNext/>
        <w:spacing w:after="80" w:before="200"/>
      </w:pPr>
      <w:r>
        <w:rPr>
          <w:rFonts w:ascii="Calibri"/>
          <w:b/>
          <w:bCs/>
          <w:color w:val="0B1C2C"/>
          <w:sz w:val="22"/>
          <w:szCs w:val="22"/>
        </w:rPr>
        <w:t xml:space="preserve">Table 1. AI Governance Technology Categories</w:t>
      </w:r>
    </w:p>
    <w:tbl>
      <w:tblPr>
        <w:tblW w:type="pct" w:w="100%"/>
        <w:tblBorders>
          <w:top w:val="single" w:color="529286" w:sz="6"/>
          <w:left w:val="none"/>
          <w:bottom w:val="single" w:color="529286" w:sz="6"/>
          <w:right w:val="none"/>
          <w:insideH w:val="single" w:color="BECFCC" w:sz="1"/>
          <w:insideV w:val="none"/>
        </w:tblBorders>
        <w:tblLayout w:type="fixed"/>
      </w:tblPr>
      <w:tblGrid>
        <w:gridCol w:w="100"/>
        <w:gridCol w:w="100"/>
        <w:gridCol w:w="100"/>
      </w:tblGrid>
      <w:tr>
        <w:trPr>
          <w:cantSplit/>
          <w:tblHeader/>
        </w:trPr>
        <w:tc>
          <w:tcPr>
            <w:tcW w:type="pct" w:w="25%"/>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Technology Category</w:t>
            </w:r>
          </w:p>
        </w:tc>
        <w:tc>
          <w:tcPr>
            <w:tcW w:type="pct" w:w="30%"/>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Purpose</w:t>
            </w:r>
          </w:p>
        </w:tc>
        <w:tc>
          <w:tcPr>
            <w:tcW w:type="pct" w:w="45%"/>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Examples / Capabilities</w:t>
            </w:r>
          </w:p>
        </w:tc>
      </w:tr>
      <w:tr>
        <w:trPr>
          <w:cantSplit/>
        </w:trPr>
        <w:tc>
          <w:tcPr>
            <w:tcW w:type="pct" w:w="2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AI Discovery &amp; Inventory</w:t>
            </w:r>
          </w:p>
        </w:tc>
        <w:tc>
          <w:tcPr>
            <w:tcW w:type="pct" w:w="30%"/>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Identify approved and shadow AI usage</w:t>
            </w:r>
          </w:p>
        </w:tc>
        <w:tc>
          <w:tcPr>
            <w:tcW w:type="pct" w:w="4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AI application discovery, SaaS inventory, browser telemetry</w:t>
            </w:r>
          </w:p>
        </w:tc>
      </w:tr>
      <w:tr>
        <w:trPr>
          <w:cantSplit/>
        </w:trPr>
        <w:tc>
          <w:tcPr>
            <w:tcW w:type="pct" w:w="2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Identity &amp; Access</w:t>
            </w:r>
          </w:p>
        </w:tc>
        <w:tc>
          <w:tcPr>
            <w:tcW w:type="pct" w:w="30%"/>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Control who can access AI systems</w:t>
            </w:r>
          </w:p>
        </w:tc>
        <w:tc>
          <w:tcPr>
            <w:tcW w:type="pct" w:w="4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SSO, MFA, RBAC, lifecycle management</w:t>
            </w:r>
          </w:p>
        </w:tc>
      </w:tr>
      <w:tr>
        <w:trPr>
          <w:cantSplit/>
        </w:trPr>
        <w:tc>
          <w:tcPr>
            <w:tcW w:type="pct" w:w="2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Data Governance</w:t>
            </w:r>
          </w:p>
        </w:tc>
        <w:tc>
          <w:tcPr>
            <w:tcW w:type="pct" w:w="30%"/>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Classify and protect information</w:t>
            </w:r>
          </w:p>
        </w:tc>
        <w:tc>
          <w:tcPr>
            <w:tcW w:type="pct" w:w="4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DLP, data classification, encryption, prompt DLP</w:t>
            </w:r>
          </w:p>
        </w:tc>
      </w:tr>
      <w:tr>
        <w:trPr>
          <w:cantSplit/>
        </w:trPr>
        <w:tc>
          <w:tcPr>
            <w:tcW w:type="pct" w:w="2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Security Monitoring</w:t>
            </w:r>
          </w:p>
        </w:tc>
        <w:tc>
          <w:tcPr>
            <w:tcW w:type="pct" w:w="30%"/>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Detect suspicious activity</w:t>
            </w:r>
          </w:p>
        </w:tc>
        <w:tc>
          <w:tcPr>
            <w:tcW w:type="pct" w:w="4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SIEM, security alerts, audit logs, UEBA</w:t>
            </w:r>
          </w:p>
        </w:tc>
      </w:tr>
      <w:tr>
        <w:trPr>
          <w:cantSplit/>
        </w:trPr>
        <w:tc>
          <w:tcPr>
            <w:tcW w:type="pct" w:w="2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Vendor Risk</w:t>
            </w:r>
          </w:p>
        </w:tc>
        <w:tc>
          <w:tcPr>
            <w:tcW w:type="pct" w:w="30%"/>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Assess AI providers</w:t>
            </w:r>
          </w:p>
        </w:tc>
        <w:tc>
          <w:tcPr>
            <w:tcW w:type="pct" w:w="4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Security questionnaires, compliance evidence, TPRM platforms</w:t>
            </w:r>
          </w:p>
        </w:tc>
      </w:tr>
      <w:tr>
        <w:trPr>
          <w:cantSplit/>
        </w:trPr>
        <w:tc>
          <w:tcPr>
            <w:tcW w:type="pct" w:w="2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AI Risk Management</w:t>
            </w:r>
          </w:p>
        </w:tc>
        <w:tc>
          <w:tcPr>
            <w:tcW w:type="pct" w:w="30%"/>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Register and assess AI use cases</w:t>
            </w:r>
          </w:p>
        </w:tc>
        <w:tc>
          <w:tcPr>
            <w:tcW w:type="pct" w:w="4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Risk registers, assessments, controls, workflow</w:t>
            </w:r>
          </w:p>
        </w:tc>
      </w:tr>
      <w:tr>
        <w:trPr>
          <w:cantSplit/>
        </w:trPr>
        <w:tc>
          <w:tcPr>
            <w:tcW w:type="pct" w:w="2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CRM / Marketing</w:t>
            </w:r>
          </w:p>
        </w:tc>
        <w:tc>
          <w:tcPr>
            <w:tcW w:type="pct" w:w="30%"/>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Operationalize sales and marketing AI</w:t>
            </w:r>
          </w:p>
        </w:tc>
        <w:tc>
          <w:tcPr>
            <w:tcW w:type="pct" w:w="4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HubSpot, Salesforce and related AI features</w:t>
            </w:r>
          </w:p>
        </w:tc>
      </w:tr>
      <w:tr>
        <w:trPr>
          <w:cantSplit/>
        </w:trPr>
        <w:tc>
          <w:tcPr>
            <w:tcW w:type="pct" w:w="2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Enterprise AI</w:t>
            </w:r>
          </w:p>
        </w:tc>
        <w:tc>
          <w:tcPr>
            <w:tcW w:type="pct" w:w="30%"/>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Secure AI productivity</w:t>
            </w:r>
          </w:p>
        </w:tc>
        <w:tc>
          <w:tcPr>
            <w:tcW w:type="pct" w:w="4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Business/enterprise AI workspaces with admin controls</w:t>
            </w:r>
          </w:p>
        </w:tc>
      </w:tr>
    </w:tbl>
    <w:p>
      <w:pPr>
        <w:pStyle w:val="Heading1"/>
        <w:spacing w:after="160" w:before="360" w:line="312"/>
      </w:pPr>
      <w:bookmarkStart w:id="100005" w:name="_Toc100005"/>
      <w:r>
        <w:rPr>
          <w:rFonts w:ascii="Calibri"/>
          <w:b/>
          <w:bCs/>
          <w:color w:val="0B1C2C"/>
          <w:sz w:val="32"/>
          <w:szCs w:val="32"/>
        </w:rPr>
        <w:t xml:space="preserve">6. AI Tool Approval Process</w:t>
      </w:r>
      <w:bookmarkEnd w:id="100005"/>
    </w:p>
    <w:p>
      <w:pPr>
        <w:spacing w:after="100" w:line="312"/>
        <w:ind w:firstLine="480"/>
        <w:jc w:val="both"/>
      </w:pPr>
      <w:r>
        <w:rPr>
          <w:rFonts w:ascii="Times New Roman"/>
          <w:color w:val="1A1A1A"/>
          <w:sz w:val="24"/>
          <w:szCs w:val="24"/>
        </w:rPr>
        <w:t xml:space="preserve">Recommended workflow:</w:t>
      </w:r>
    </w:p>
    <w:p>
      <w:pPr>
        <w:pStyle w:val="ListParagraph"/>
        <w:numPr>
          <w:ilvl w:val="0"/>
          <w:numId w:val="2"/>
        </w:numPr>
        <w:spacing w:after="60" w:line="312"/>
      </w:pPr>
      <w:r>
        <w:rPr>
          <w:rFonts w:ascii="Times New Roman"/>
          <w:color w:val="1A1A1A"/>
          <w:sz w:val="24"/>
          <w:szCs w:val="24"/>
        </w:rPr>
        <w:t xml:space="preserve">Employee requests an AI tool through the standard intake channel.</w:t>
      </w:r>
    </w:p>
    <w:p>
      <w:pPr>
        <w:pStyle w:val="ListParagraph"/>
        <w:numPr>
          <w:ilvl w:val="0"/>
          <w:numId w:val="2"/>
        </w:numPr>
        <w:spacing w:after="60" w:line="312"/>
      </w:pPr>
      <w:r>
        <w:rPr>
          <w:rFonts w:ascii="Times New Roman"/>
          <w:color w:val="1A1A1A"/>
          <w:sz w:val="24"/>
          <w:szCs w:val="24"/>
        </w:rPr>
        <w:t xml:space="preserve">Business justification is documented, including the use case, expected benefit and the alternatives considered.</w:t>
      </w:r>
    </w:p>
    <w:p>
      <w:pPr>
        <w:pStyle w:val="ListParagraph"/>
        <w:numPr>
          <w:ilvl w:val="0"/>
          <w:numId w:val="2"/>
        </w:numPr>
        <w:spacing w:after="60" w:line="312"/>
      </w:pPr>
      <w:r>
        <w:rPr>
          <w:rFonts w:ascii="Times New Roman"/>
          <w:color w:val="1A1A1A"/>
          <w:sz w:val="24"/>
          <w:szCs w:val="24"/>
        </w:rPr>
        <w:t xml:space="preserve">Security assessment is completed by the security team, covering identity, access, encryption, logging and incident response.</w:t>
      </w:r>
    </w:p>
    <w:p>
      <w:pPr>
        <w:pStyle w:val="ListParagraph"/>
        <w:numPr>
          <w:ilvl w:val="0"/>
          <w:numId w:val="2"/>
        </w:numPr>
        <w:spacing w:after="60" w:line="312"/>
      </w:pPr>
      <w:r>
        <w:rPr>
          <w:rFonts w:ascii="Times New Roman"/>
          <w:color w:val="1A1A1A"/>
          <w:sz w:val="24"/>
          <w:szCs w:val="24"/>
        </w:rPr>
        <w:t xml:space="preserve">Privacy and legal requirements are reviewed, including data processing needs, retention expectations and contractual obligations.</w:t>
      </w:r>
    </w:p>
    <w:p>
      <w:pPr>
        <w:pStyle w:val="ListParagraph"/>
        <w:numPr>
          <w:ilvl w:val="0"/>
          <w:numId w:val="2"/>
        </w:numPr>
        <w:spacing w:after="60" w:line="312"/>
      </w:pPr>
      <w:r>
        <w:rPr>
          <w:rFonts w:ascii="Times New Roman"/>
          <w:color w:val="1A1A1A"/>
          <w:sz w:val="24"/>
          <w:szCs w:val="24"/>
        </w:rPr>
        <w:t xml:space="preserve">Vendor security and compliance evidence is assessed against the organization's minimum requirements.</w:t>
      </w:r>
    </w:p>
    <w:p>
      <w:pPr>
        <w:pStyle w:val="ListParagraph"/>
        <w:numPr>
          <w:ilvl w:val="0"/>
          <w:numId w:val="2"/>
        </w:numPr>
        <w:spacing w:after="60" w:line="312"/>
      </w:pPr>
      <w:r>
        <w:rPr>
          <w:rFonts w:ascii="Times New Roman"/>
          <w:color w:val="1A1A1A"/>
          <w:sz w:val="24"/>
          <w:szCs w:val="24"/>
        </w:rPr>
        <w:t xml:space="preserve">The use case and data classification are risk-rated using the AI Risk Classification in Section 8.</w:t>
      </w:r>
    </w:p>
    <w:p>
      <w:pPr>
        <w:pStyle w:val="ListParagraph"/>
        <w:numPr>
          <w:ilvl w:val="0"/>
          <w:numId w:val="2"/>
        </w:numPr>
        <w:spacing w:after="60" w:line="312"/>
      </w:pPr>
      <w:r>
        <w:rPr>
          <w:rFonts w:ascii="Times New Roman"/>
          <w:color w:val="1A1A1A"/>
          <w:sz w:val="24"/>
          <w:szCs w:val="24"/>
        </w:rPr>
        <w:t xml:space="preserve">Management approves, restricts, pilots or rejects the tool based on the aggregated assessment.</w:t>
      </w:r>
    </w:p>
    <w:p>
      <w:pPr>
        <w:pStyle w:val="ListParagraph"/>
        <w:numPr>
          <w:ilvl w:val="0"/>
          <w:numId w:val="2"/>
        </w:numPr>
        <w:spacing w:after="60" w:line="312"/>
      </w:pPr>
      <w:r>
        <w:rPr>
          <w:rFonts w:ascii="Times New Roman"/>
          <w:color w:val="1A1A1A"/>
          <w:sz w:val="24"/>
          <w:szCs w:val="24"/>
        </w:rPr>
        <w:t xml:space="preserve">The tool is monitored after deployment, with periodic re-review based on risk tier.</w:t>
      </w:r>
    </w:p>
    <w:p>
      <w:pPr>
        <w:pStyle w:val="Heading1"/>
        <w:spacing w:after="160" w:before="360" w:line="312"/>
      </w:pPr>
      <w:bookmarkStart w:id="100006" w:name="_Toc100006"/>
      <w:r>
        <w:rPr>
          <w:rFonts w:ascii="Calibri"/>
          <w:b/>
          <w:bCs/>
          <w:color w:val="0B1C2C"/>
          <w:sz w:val="32"/>
          <w:szCs w:val="32"/>
        </w:rPr>
        <w:t xml:space="preserve">7. AI Vendor Risk Assessment</w:t>
      </w:r>
      <w:bookmarkEnd w:id="100006"/>
    </w:p>
    <w:p>
      <w:pPr>
        <w:spacing w:after="100" w:line="312"/>
        <w:ind w:firstLine="480"/>
        <w:jc w:val="both"/>
      </w:pPr>
      <w:r>
        <w:rPr>
          <w:rFonts w:ascii="Times New Roman"/>
          <w:color w:val="1A1A1A"/>
          <w:sz w:val="24"/>
          <w:szCs w:val="24"/>
        </w:rPr>
        <w:t xml:space="preserve">Before purchasing an AI subscription, assess at least the following dimensions. The assessment should be documented and retained for the lifetime of the vendor relationship, with periodic re-review based on risk tier and any material change in the vendor's service.</w:t>
      </w:r>
    </w:p>
    <w:p>
      <w:pPr>
        <w:pStyle w:val="Heading2"/>
        <w:spacing w:after="120" w:before="240" w:line="312"/>
      </w:pPr>
      <w:bookmarkStart w:id="100007" w:name="_Toc100007"/>
      <w:r>
        <w:rPr>
          <w:rFonts w:ascii="Calibri"/>
          <w:b/>
          <w:bCs/>
          <w:color w:val="0B1C2C"/>
          <w:sz w:val="28"/>
          <w:szCs w:val="28"/>
        </w:rPr>
        <w:t xml:space="preserve">7.1 Security</w:t>
      </w:r>
      <w:bookmarkEnd w:id="100007"/>
    </w:p>
    <w:p>
      <w:pPr>
        <w:pStyle w:val="ListParagraph"/>
        <w:numPr>
          <w:ilvl w:val="0"/>
          <w:numId w:val="1"/>
        </w:numPr>
        <w:spacing w:after="60" w:line="312"/>
      </w:pPr>
      <w:r>
        <w:rPr>
          <w:rFonts w:ascii="Times New Roman"/>
          <w:color w:val="1A1A1A"/>
          <w:sz w:val="24"/>
          <w:szCs w:val="24"/>
        </w:rPr>
        <w:t xml:space="preserve">Encryption in transit and at rest</w:t>
      </w:r>
    </w:p>
    <w:p>
      <w:pPr>
        <w:pStyle w:val="ListParagraph"/>
        <w:numPr>
          <w:ilvl w:val="0"/>
          <w:numId w:val="1"/>
        </w:numPr>
        <w:spacing w:after="60" w:line="312"/>
      </w:pPr>
      <w:r>
        <w:rPr>
          <w:rFonts w:ascii="Times New Roman"/>
          <w:color w:val="1A1A1A"/>
          <w:sz w:val="24"/>
          <w:szCs w:val="24"/>
        </w:rPr>
        <w:t xml:space="preserve">Multi-factor authentication and single sign-on (MFA / SSO)</w:t>
      </w:r>
    </w:p>
    <w:p>
      <w:pPr>
        <w:pStyle w:val="ListParagraph"/>
        <w:numPr>
          <w:ilvl w:val="0"/>
          <w:numId w:val="1"/>
        </w:numPr>
        <w:spacing w:after="60" w:line="312"/>
      </w:pPr>
      <w:r>
        <w:rPr>
          <w:rFonts w:ascii="Times New Roman"/>
          <w:color w:val="1A1A1A"/>
          <w:sz w:val="24"/>
          <w:szCs w:val="24"/>
        </w:rPr>
        <w:t xml:space="preserve">Role-based access and least-privilege defaults</w:t>
      </w:r>
    </w:p>
    <w:p>
      <w:pPr>
        <w:pStyle w:val="ListParagraph"/>
        <w:numPr>
          <w:ilvl w:val="0"/>
          <w:numId w:val="1"/>
        </w:numPr>
        <w:spacing w:after="60" w:line="312"/>
      </w:pPr>
      <w:r>
        <w:rPr>
          <w:rFonts w:ascii="Times New Roman"/>
          <w:color w:val="1A1A1A"/>
          <w:sz w:val="24"/>
          <w:szCs w:val="24"/>
        </w:rPr>
        <w:t xml:space="preserve">Audit logs and tamper-evident logging</w:t>
      </w:r>
    </w:p>
    <w:p>
      <w:pPr>
        <w:pStyle w:val="ListParagraph"/>
        <w:numPr>
          <w:ilvl w:val="0"/>
          <w:numId w:val="1"/>
        </w:numPr>
        <w:spacing w:after="60" w:line="312"/>
      </w:pPr>
      <w:r>
        <w:rPr>
          <w:rFonts w:ascii="Times New Roman"/>
          <w:color w:val="1A1A1A"/>
          <w:sz w:val="24"/>
          <w:szCs w:val="24"/>
        </w:rPr>
        <w:t xml:space="preserve">Incident response and breach notification commitments</w:t>
      </w:r>
    </w:p>
    <w:p>
      <w:pPr>
        <w:pStyle w:val="ListParagraph"/>
        <w:numPr>
          <w:ilvl w:val="0"/>
          <w:numId w:val="1"/>
        </w:numPr>
        <w:spacing w:after="60" w:line="312"/>
      </w:pPr>
      <w:r>
        <w:rPr>
          <w:rFonts w:ascii="Times New Roman"/>
          <w:color w:val="1A1A1A"/>
          <w:sz w:val="24"/>
          <w:szCs w:val="24"/>
        </w:rPr>
        <w:t xml:space="preserve">Independent security testing (penetration tests, red-team exercises)</w:t>
      </w:r>
    </w:p>
    <w:p>
      <w:pPr>
        <w:pStyle w:val="Heading2"/>
        <w:spacing w:after="120" w:before="240" w:line="312"/>
      </w:pPr>
      <w:bookmarkStart w:id="100008" w:name="_Toc100008"/>
      <w:r>
        <w:rPr>
          <w:rFonts w:ascii="Calibri"/>
          <w:b/>
          <w:bCs/>
          <w:color w:val="0B1C2C"/>
          <w:sz w:val="28"/>
          <w:szCs w:val="28"/>
        </w:rPr>
        <w:t xml:space="preserve">7.2 Privacy</w:t>
      </w:r>
      <w:bookmarkEnd w:id="100008"/>
    </w:p>
    <w:p>
      <w:pPr>
        <w:pStyle w:val="ListParagraph"/>
        <w:numPr>
          <w:ilvl w:val="0"/>
          <w:numId w:val="1"/>
        </w:numPr>
        <w:spacing w:after="60" w:line="312"/>
      </w:pPr>
      <w:r>
        <w:rPr>
          <w:rFonts w:ascii="Times New Roman"/>
          <w:color w:val="1A1A1A"/>
          <w:sz w:val="24"/>
          <w:szCs w:val="24"/>
        </w:rPr>
        <w:t xml:space="preserve">Whether customer data is used for model training, fine-tuning or evaluation</w:t>
      </w:r>
    </w:p>
    <w:p>
      <w:pPr>
        <w:pStyle w:val="ListParagraph"/>
        <w:numPr>
          <w:ilvl w:val="0"/>
          <w:numId w:val="1"/>
        </w:numPr>
        <w:spacing w:after="60" w:line="312"/>
      </w:pPr>
      <w:r>
        <w:rPr>
          <w:rFonts w:ascii="Times New Roman"/>
          <w:color w:val="1A1A1A"/>
          <w:sz w:val="24"/>
          <w:szCs w:val="24"/>
        </w:rPr>
        <w:t xml:space="preserve">Data retention and deletion schedules, including post-termination deletion</w:t>
      </w:r>
    </w:p>
    <w:p>
      <w:pPr>
        <w:pStyle w:val="ListParagraph"/>
        <w:numPr>
          <w:ilvl w:val="0"/>
          <w:numId w:val="1"/>
        </w:numPr>
        <w:spacing w:after="60" w:line="312"/>
      </w:pPr>
      <w:r>
        <w:rPr>
          <w:rFonts w:ascii="Times New Roman"/>
          <w:color w:val="1A1A1A"/>
          <w:sz w:val="24"/>
          <w:szCs w:val="24"/>
        </w:rPr>
        <w:t xml:space="preserve">Data processing locations and any cross-border transfers</w:t>
      </w:r>
    </w:p>
    <w:p>
      <w:pPr>
        <w:pStyle w:val="ListParagraph"/>
        <w:numPr>
          <w:ilvl w:val="0"/>
          <w:numId w:val="1"/>
        </w:numPr>
        <w:spacing w:after="60" w:line="312"/>
      </w:pPr>
      <w:r>
        <w:rPr>
          <w:rFonts w:ascii="Times New Roman"/>
          <w:color w:val="1A1A1A"/>
          <w:sz w:val="24"/>
          <w:szCs w:val="24"/>
        </w:rPr>
        <w:t xml:space="preserve">Subprocessors and the right to object to changes</w:t>
      </w:r>
    </w:p>
    <w:p>
      <w:pPr>
        <w:pStyle w:val="ListParagraph"/>
        <w:numPr>
          <w:ilvl w:val="0"/>
          <w:numId w:val="1"/>
        </w:numPr>
        <w:spacing w:after="60" w:line="312"/>
      </w:pPr>
      <w:r>
        <w:rPr>
          <w:rFonts w:ascii="Times New Roman"/>
          <w:color w:val="1A1A1A"/>
          <w:sz w:val="24"/>
          <w:szCs w:val="24"/>
        </w:rPr>
        <w:t xml:space="preserve">Data Processing Agreement (DPA) where applicable</w:t>
      </w:r>
    </w:p>
    <w:p>
      <w:pPr>
        <w:pStyle w:val="Heading2"/>
        <w:spacing w:after="120" w:before="240" w:line="312"/>
      </w:pPr>
      <w:bookmarkStart w:id="100009" w:name="_Toc100009"/>
      <w:r>
        <w:rPr>
          <w:rFonts w:ascii="Calibri"/>
          <w:b/>
          <w:bCs/>
          <w:color w:val="0B1C2C"/>
          <w:sz w:val="28"/>
          <w:szCs w:val="28"/>
        </w:rPr>
        <w:t xml:space="preserve">7.3 Compliance</w:t>
      </w:r>
      <w:bookmarkEnd w:id="100009"/>
    </w:p>
    <w:p>
      <w:pPr>
        <w:pStyle w:val="ListParagraph"/>
        <w:numPr>
          <w:ilvl w:val="0"/>
          <w:numId w:val="1"/>
        </w:numPr>
        <w:spacing w:after="60" w:line="312"/>
      </w:pPr>
      <w:r>
        <w:rPr>
          <w:rFonts w:ascii="Times New Roman"/>
          <w:color w:val="1A1A1A"/>
          <w:sz w:val="24"/>
          <w:szCs w:val="24"/>
        </w:rPr>
        <w:t xml:space="preserve">SOC 2 or equivalent assurance</w:t>
      </w:r>
    </w:p>
    <w:p>
      <w:pPr>
        <w:pStyle w:val="ListParagraph"/>
        <w:numPr>
          <w:ilvl w:val="0"/>
          <w:numId w:val="1"/>
        </w:numPr>
        <w:spacing w:after="60" w:line="312"/>
      </w:pPr>
      <w:r>
        <w:rPr>
          <w:rFonts w:ascii="Times New Roman"/>
          <w:color w:val="1A1A1A"/>
          <w:sz w:val="24"/>
          <w:szCs w:val="24"/>
        </w:rPr>
        <w:t xml:space="preserve">ISO/IEC 27001 where relevant</w:t>
      </w:r>
    </w:p>
    <w:p>
      <w:pPr>
        <w:pStyle w:val="ListParagraph"/>
        <w:numPr>
          <w:ilvl w:val="0"/>
          <w:numId w:val="1"/>
        </w:numPr>
        <w:spacing w:after="60" w:line="312"/>
      </w:pPr>
      <w:r>
        <w:rPr>
          <w:rFonts w:ascii="Times New Roman"/>
          <w:color w:val="1A1A1A"/>
          <w:sz w:val="24"/>
          <w:szCs w:val="24"/>
        </w:rPr>
        <w:t xml:space="preserve">Applicable privacy requirements (e.g., GDPR, CCPA, sectoral rules)</w:t>
      </w:r>
    </w:p>
    <w:p>
      <w:pPr>
        <w:pStyle w:val="ListParagraph"/>
        <w:numPr>
          <w:ilvl w:val="0"/>
          <w:numId w:val="1"/>
        </w:numPr>
        <w:spacing w:after="60" w:line="312"/>
      </w:pPr>
      <w:r>
        <w:rPr>
          <w:rFonts w:ascii="Times New Roman"/>
          <w:color w:val="1A1A1A"/>
          <w:sz w:val="24"/>
          <w:szCs w:val="24"/>
        </w:rPr>
        <w:t xml:space="preserve">Industry-specific requirements (e.g., HIPAA, PCI-DSS, GLBA)</w:t>
      </w:r>
    </w:p>
    <w:p>
      <w:pPr>
        <w:pStyle w:val="ListParagraph"/>
        <w:numPr>
          <w:ilvl w:val="0"/>
          <w:numId w:val="1"/>
        </w:numPr>
        <w:spacing w:after="60" w:line="312"/>
      </w:pPr>
      <w:r>
        <w:rPr>
          <w:rFonts w:ascii="Times New Roman"/>
          <w:color w:val="1A1A1A"/>
          <w:sz w:val="24"/>
          <w:szCs w:val="24"/>
        </w:rPr>
        <w:t xml:space="preserve">Contractual commitments including indemnities and audit rights</w:t>
      </w:r>
    </w:p>
    <w:p>
      <w:pPr>
        <w:spacing w:after="100" w:line="312"/>
        <w:ind w:firstLine="480"/>
        <w:jc w:val="both"/>
      </w:pPr>
      <w:r>
        <w:rPr>
          <w:rFonts w:ascii="Times New Roman"/>
          <w:color w:val="1A1A1A"/>
          <w:sz w:val="24"/>
          <w:szCs w:val="24"/>
        </w:rPr>
        <w:t xml:space="preserve">Important: certifications and compliance claims should be verified against current vendor documentation, including the scope and period of the assurance report. A certification that does not cover the service the organization is using, or that has expired, has limited evidentiary value.</w:t>
      </w:r>
    </w:p>
    <w:p>
      <w:pPr>
        <w:pStyle w:val="Heading1"/>
        <w:spacing w:after="160" w:before="360" w:line="312"/>
      </w:pPr>
      <w:bookmarkStart w:id="100010" w:name="_Toc100010"/>
      <w:r>
        <w:rPr>
          <w:rFonts w:ascii="Calibri"/>
          <w:b/>
          <w:bCs/>
          <w:color w:val="0B1C2C"/>
          <w:sz w:val="32"/>
          <w:szCs w:val="32"/>
        </w:rPr>
        <w:t xml:space="preserve">8. AI Risk Classification</w:t>
      </w:r>
      <w:bookmarkEnd w:id="100010"/>
    </w:p>
    <w:p>
      <w:pPr>
        <w:spacing w:after="100" w:line="312"/>
        <w:ind w:firstLine="480"/>
        <w:jc w:val="both"/>
      </w:pPr>
      <w:r>
        <w:rPr>
          <w:rFonts w:ascii="Times New Roman"/>
          <w:color w:val="1A1A1A"/>
          <w:sz w:val="24"/>
          <w:szCs w:val="24"/>
        </w:rPr>
        <w:t xml:space="preserve">Every AI use case should be assigned a risk tier that determines the controls applied to it. The four-tier model below is sufficient for most organizations; larger or more regulated organizations may add intermediate tiers.</w:t>
      </w:r>
    </w:p>
    <w:p>
      <w:pPr>
        <w:keepNext/>
        <w:spacing w:after="80" w:before="200"/>
      </w:pPr>
      <w:r>
        <w:rPr>
          <w:rFonts w:ascii="Calibri"/>
          <w:b/>
          <w:bCs/>
          <w:color w:val="0B1C2C"/>
          <w:sz w:val="22"/>
          <w:szCs w:val="22"/>
        </w:rPr>
        <w:t xml:space="preserve">Table 2. AI Risk Classification</w:t>
      </w:r>
    </w:p>
    <w:tbl>
      <w:tblPr>
        <w:tblW w:type="pct" w:w="100%"/>
        <w:tblBorders>
          <w:top w:val="single" w:color="529286" w:sz="6"/>
          <w:left w:val="none"/>
          <w:bottom w:val="single" w:color="529286" w:sz="6"/>
          <w:right w:val="none"/>
          <w:insideH w:val="single" w:color="BECFCC" w:sz="1"/>
          <w:insideV w:val="none"/>
        </w:tblBorders>
        <w:tblLayout w:type="fixed"/>
      </w:tblPr>
      <w:tblGrid>
        <w:gridCol w:w="100"/>
        <w:gridCol w:w="100"/>
        <w:gridCol w:w="100"/>
      </w:tblGrid>
      <w:tr>
        <w:trPr>
          <w:cantSplit/>
          <w:tblHeader/>
        </w:trPr>
        <w:tc>
          <w:tcPr>
            <w:tcW w:type="pct" w:w="15%"/>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Risk Level</w:t>
            </w:r>
          </w:p>
        </w:tc>
        <w:tc>
          <w:tcPr>
            <w:tcW w:type="pct" w:w="40%"/>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Typical Examples</w:t>
            </w:r>
          </w:p>
        </w:tc>
        <w:tc>
          <w:tcPr>
            <w:tcW w:type="pct" w:w="45%"/>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Recommended Controls</w:t>
            </w:r>
          </w:p>
        </w:tc>
      </w:tr>
      <w:tr>
        <w:trPr>
          <w:cantSplit/>
        </w:trPr>
        <w:tc>
          <w:tcPr>
            <w:tcW w:type="pct" w:w="1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Low</w:t>
            </w:r>
          </w:p>
        </w:tc>
        <w:tc>
          <w:tcPr>
            <w:tcW w:type="pct" w:w="40%"/>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Brainstorming, grammar checks, public-information summaries</w:t>
            </w:r>
          </w:p>
        </w:tc>
        <w:tc>
          <w:tcPr>
            <w:tcW w:type="pct" w:w="4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Basic approved-tool and data-use rules</w:t>
            </w:r>
          </w:p>
        </w:tc>
      </w:tr>
      <w:tr>
        <w:trPr>
          <w:cantSplit/>
        </w:trPr>
        <w:tc>
          <w:tcPr>
            <w:tcW w:type="pct" w:w="1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Moderate</w:t>
            </w:r>
          </w:p>
        </w:tc>
        <w:tc>
          <w:tcPr>
            <w:tcW w:type="pct" w:w="40%"/>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Internal reports, marketing analytics, internal documents</w:t>
            </w:r>
          </w:p>
        </w:tc>
        <w:tc>
          <w:tcPr>
            <w:tcW w:type="pct" w:w="4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Access controls, approved workspace, output validation</w:t>
            </w:r>
          </w:p>
        </w:tc>
      </w:tr>
      <w:tr>
        <w:trPr>
          <w:cantSplit/>
        </w:trPr>
        <w:tc>
          <w:tcPr>
            <w:tcW w:type="pct" w:w="1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High</w:t>
            </w:r>
          </w:p>
        </w:tc>
        <w:tc>
          <w:tcPr>
            <w:tcW w:type="pct" w:w="40%"/>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HR screening, sensitive personal data, consequential recommendations</w:t>
            </w:r>
          </w:p>
        </w:tc>
        <w:tc>
          <w:tcPr>
            <w:tcW w:type="pct" w:w="4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Formal assessment, human review, documentation, monitoring</w:t>
            </w:r>
          </w:p>
        </w:tc>
      </w:tr>
      <w:tr>
        <w:trPr>
          <w:cantSplit/>
        </w:trPr>
        <w:tc>
          <w:tcPr>
            <w:tcW w:type="pct" w:w="1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Critical</w:t>
            </w:r>
          </w:p>
        </w:tc>
        <w:tc>
          <w:tcPr>
            <w:tcW w:type="pct" w:w="40%"/>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Potentially safety-, rights- or high-impact applications</w:t>
            </w:r>
          </w:p>
        </w:tc>
        <w:tc>
          <w:tcPr>
            <w:tcW w:type="pct" w:w="4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Executive / legal / security review, strong controls, continuous oversight</w:t>
            </w:r>
          </w:p>
        </w:tc>
      </w:tr>
    </w:tbl>
    <w:p>
      <w:pPr>
        <w:pStyle w:val="Heading1"/>
        <w:spacing w:after="160" w:before="360" w:line="312"/>
      </w:pPr>
      <w:bookmarkStart w:id="100011" w:name="_Toc100011"/>
      <w:r>
        <w:rPr>
          <w:rFonts w:ascii="Calibri"/>
          <w:b/>
          <w:bCs/>
          <w:color w:val="0B1C2C"/>
          <w:sz w:val="32"/>
          <w:szCs w:val="32"/>
        </w:rPr>
        <w:t xml:space="preserve">9. AI Use Case Register</w:t>
      </w:r>
      <w:bookmarkEnd w:id="100011"/>
    </w:p>
    <w:p>
      <w:pPr>
        <w:spacing w:after="100" w:line="312"/>
        <w:ind w:firstLine="480"/>
        <w:jc w:val="both"/>
      </w:pPr>
      <w:r>
        <w:rPr>
          <w:rFonts w:ascii="Times New Roman"/>
          <w:color w:val="1A1A1A"/>
          <w:sz w:val="24"/>
          <w:szCs w:val="24"/>
        </w:rPr>
        <w:t xml:space="preserve">Maintain a central register of all material AI use cases. The register is the single source of truth for what AI is being used, by whom, for what purpose, with what data, at what risk tier and under whose ownership. It is the basis for risk reporting, vendor management and audit.</w:t>
      </w:r>
    </w:p>
    <w:p>
      <w:pPr>
        <w:keepNext/>
        <w:spacing w:after="80" w:before="200"/>
      </w:pPr>
      <w:r>
        <w:rPr>
          <w:rFonts w:ascii="Calibri"/>
          <w:b/>
          <w:bCs/>
          <w:color w:val="0B1C2C"/>
          <w:sz w:val="22"/>
          <w:szCs w:val="22"/>
        </w:rPr>
        <w:t xml:space="preserve">Table 3. Sample AI Use Case Register</w:t>
      </w:r>
    </w:p>
    <w:tbl>
      <w:tblPr>
        <w:tblW w:type="pct" w:w="100%"/>
        <w:tblBorders>
          <w:top w:val="single" w:color="529286" w:sz="6"/>
          <w:left w:val="none"/>
          <w:bottom w:val="single" w:color="529286" w:sz="6"/>
          <w:right w:val="none"/>
          <w:insideH w:val="single" w:color="BECFCC" w:sz="1"/>
          <w:insideV w:val="none"/>
        </w:tblBorders>
        <w:tblLayout w:type="fixed"/>
      </w:tblPr>
      <w:tblGrid>
        <w:gridCol w:w="100"/>
        <w:gridCol w:w="100"/>
        <w:gridCol w:w="100"/>
        <w:gridCol w:w="100"/>
        <w:gridCol w:w="100"/>
        <w:gridCol w:w="100"/>
        <w:gridCol w:w="100"/>
        <w:gridCol w:w="100"/>
      </w:tblGrid>
      <w:tr>
        <w:trPr>
          <w:cantSplit/>
          <w:tblHeader/>
        </w:trPr>
        <w:tc>
          <w:tcPr>
            <w:tcW w:type="pct" w:w="8%"/>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ID</w:t>
            </w:r>
          </w:p>
        </w:tc>
        <w:tc>
          <w:tcPr>
            <w:tcW w:type="pct" w:w="12%"/>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Department</w:t>
            </w:r>
          </w:p>
        </w:tc>
        <w:tc>
          <w:tcPr>
            <w:tcW w:type="pct" w:w="14%"/>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AI Tool</w:t>
            </w:r>
          </w:p>
        </w:tc>
        <w:tc>
          <w:tcPr>
            <w:tcW w:type="pct" w:w="14%"/>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Use Case</w:t>
            </w:r>
          </w:p>
        </w:tc>
        <w:tc>
          <w:tcPr>
            <w:tcW w:type="pct" w:w="12%"/>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Data Type</w:t>
            </w:r>
          </w:p>
        </w:tc>
        <w:tc>
          <w:tcPr>
            <w:tcW w:type="pct" w:w="10%"/>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Risk</w:t>
            </w:r>
          </w:p>
        </w:tc>
        <w:tc>
          <w:tcPr>
            <w:tcW w:type="pct" w:w="16%"/>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Owner</w:t>
            </w:r>
          </w:p>
        </w:tc>
        <w:tc>
          <w:tcPr>
            <w:tcW w:type="pct" w:w="14%"/>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Status</w:t>
            </w:r>
          </w:p>
        </w:tc>
      </w:tr>
      <w:tr>
        <w:trPr>
          <w:cantSplit/>
        </w:trPr>
        <w:tc>
          <w:tcPr>
            <w:tcW w:type="pct" w:w="8%"/>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AI-001</w:t>
            </w:r>
          </w:p>
        </w:tc>
        <w:tc>
          <w:tcPr>
            <w:tcW w:type="pct" w:w="12%"/>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Marketing</w:t>
            </w:r>
          </w:p>
        </w:tc>
        <w:tc>
          <w:tcPr>
            <w:tcW w:type="pct" w:w="14%"/>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Approved AI Assistant</w:t>
            </w:r>
          </w:p>
        </w:tc>
        <w:tc>
          <w:tcPr>
            <w:tcW w:type="pct" w:w="14%"/>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Social content</w:t>
            </w:r>
          </w:p>
        </w:tc>
        <w:tc>
          <w:tcPr>
            <w:tcW w:type="pct" w:w="12%"/>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Public</w:t>
            </w:r>
          </w:p>
        </w:tc>
        <w:tc>
          <w:tcPr>
            <w:tcW w:type="pct" w:w="10%"/>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Low</w:t>
            </w:r>
          </w:p>
        </w:tc>
        <w:tc>
          <w:tcPr>
            <w:tcW w:type="pct" w:w="16%"/>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Marketing Manager</w:t>
            </w:r>
          </w:p>
        </w:tc>
        <w:tc>
          <w:tcPr>
            <w:tcW w:type="pct" w:w="14%"/>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Approved</w:t>
            </w:r>
          </w:p>
        </w:tc>
      </w:tr>
      <w:tr>
        <w:trPr>
          <w:cantSplit/>
        </w:trPr>
        <w:tc>
          <w:tcPr>
            <w:tcW w:type="pct" w:w="8%"/>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AI-002</w:t>
            </w:r>
          </w:p>
        </w:tc>
        <w:tc>
          <w:tcPr>
            <w:tcW w:type="pct" w:w="12%"/>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Sales</w:t>
            </w:r>
          </w:p>
        </w:tc>
        <w:tc>
          <w:tcPr>
            <w:tcW w:type="pct" w:w="14%"/>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AI CRM</w:t>
            </w:r>
          </w:p>
        </w:tc>
        <w:tc>
          <w:tcPr>
            <w:tcW w:type="pct" w:w="14%"/>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Lead analysis</w:t>
            </w:r>
          </w:p>
        </w:tc>
        <w:tc>
          <w:tcPr>
            <w:tcW w:type="pct" w:w="12%"/>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Internal</w:t>
            </w:r>
          </w:p>
        </w:tc>
        <w:tc>
          <w:tcPr>
            <w:tcW w:type="pct" w:w="10%"/>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Medium</w:t>
            </w:r>
          </w:p>
        </w:tc>
        <w:tc>
          <w:tcPr>
            <w:tcW w:type="pct" w:w="16%"/>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Sales Manager</w:t>
            </w:r>
          </w:p>
        </w:tc>
        <w:tc>
          <w:tcPr>
            <w:tcW w:type="pct" w:w="14%"/>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Approved</w:t>
            </w:r>
          </w:p>
        </w:tc>
      </w:tr>
      <w:tr>
        <w:trPr>
          <w:cantSplit/>
        </w:trPr>
        <w:tc>
          <w:tcPr>
            <w:tcW w:type="pct" w:w="8%"/>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AI-003</w:t>
            </w:r>
          </w:p>
        </w:tc>
        <w:tc>
          <w:tcPr>
            <w:tcW w:type="pct" w:w="12%"/>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HR</w:t>
            </w:r>
          </w:p>
        </w:tc>
        <w:tc>
          <w:tcPr>
            <w:tcW w:type="pct" w:w="14%"/>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AI Assistant</w:t>
            </w:r>
          </w:p>
        </w:tc>
        <w:tc>
          <w:tcPr>
            <w:tcW w:type="pct" w:w="14%"/>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CV screening</w:t>
            </w:r>
          </w:p>
        </w:tc>
        <w:tc>
          <w:tcPr>
            <w:tcW w:type="pct" w:w="12%"/>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Personal</w:t>
            </w:r>
          </w:p>
        </w:tc>
        <w:tc>
          <w:tcPr>
            <w:tcW w:type="pct" w:w="10%"/>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High</w:t>
            </w:r>
          </w:p>
        </w:tc>
        <w:tc>
          <w:tcPr>
            <w:tcW w:type="pct" w:w="16%"/>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HR Manager</w:t>
            </w:r>
          </w:p>
        </w:tc>
        <w:tc>
          <w:tcPr>
            <w:tcW w:type="pct" w:w="14%"/>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Review</w:t>
            </w:r>
          </w:p>
        </w:tc>
      </w:tr>
      <w:tr>
        <w:trPr>
          <w:cantSplit/>
        </w:trPr>
        <w:tc>
          <w:tcPr>
            <w:tcW w:type="pct" w:w="8%"/>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AI-004</w:t>
            </w:r>
          </w:p>
        </w:tc>
        <w:tc>
          <w:tcPr>
            <w:tcW w:type="pct" w:w="12%"/>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Finance</w:t>
            </w:r>
          </w:p>
        </w:tc>
        <w:tc>
          <w:tcPr>
            <w:tcW w:type="pct" w:w="14%"/>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AI Tool</w:t>
            </w:r>
          </w:p>
        </w:tc>
        <w:tc>
          <w:tcPr>
            <w:tcW w:type="pct" w:w="14%"/>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Financial analysis</w:t>
            </w:r>
          </w:p>
        </w:tc>
        <w:tc>
          <w:tcPr>
            <w:tcW w:type="pct" w:w="12%"/>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Confidential</w:t>
            </w:r>
          </w:p>
        </w:tc>
        <w:tc>
          <w:tcPr>
            <w:tcW w:type="pct" w:w="10%"/>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High</w:t>
            </w:r>
          </w:p>
        </w:tc>
        <w:tc>
          <w:tcPr>
            <w:tcW w:type="pct" w:w="16%"/>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Finance Lead</w:t>
            </w:r>
          </w:p>
        </w:tc>
        <w:tc>
          <w:tcPr>
            <w:tcW w:type="pct" w:w="14%"/>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Restricted</w:t>
            </w:r>
          </w:p>
        </w:tc>
      </w:tr>
    </w:tbl>
    <w:p>
      <w:pPr>
        <w:pStyle w:val="Heading1"/>
        <w:spacing w:after="160" w:before="360" w:line="312"/>
      </w:pPr>
      <w:bookmarkStart w:id="100012" w:name="_Toc100012"/>
      <w:r>
        <w:rPr>
          <w:rFonts w:ascii="Calibri"/>
          <w:b/>
          <w:bCs/>
          <w:color w:val="0B1C2C"/>
          <w:sz w:val="32"/>
          <w:szCs w:val="32"/>
        </w:rPr>
        <w:t xml:space="preserve">10. Data Classification</w:t>
      </w:r>
      <w:bookmarkEnd w:id="100012"/>
    </w:p>
    <w:p>
      <w:pPr>
        <w:spacing w:after="100" w:line="312"/>
        <w:ind w:firstLine="480"/>
        <w:jc w:val="both"/>
      </w:pPr>
      <w:r>
        <w:rPr>
          <w:rFonts w:ascii="Times New Roman"/>
          <w:color w:val="1A1A1A"/>
          <w:sz w:val="24"/>
          <w:szCs w:val="24"/>
        </w:rPr>
        <w:t xml:space="preserve">Data classification determines what may be processed by AI, in which environment, and under what controls. The four-tier model below aligns with the most common corporate classification schemes and should be reflected in the AI Use Case Register.</w:t>
      </w:r>
    </w:p>
    <w:p>
      <w:pPr>
        <w:keepNext/>
        <w:spacing w:after="80" w:before="200"/>
      </w:pPr>
      <w:r>
        <w:rPr>
          <w:rFonts w:ascii="Calibri"/>
          <w:b/>
          <w:bCs/>
          <w:color w:val="0B1C2C"/>
          <w:sz w:val="22"/>
          <w:szCs w:val="22"/>
        </w:rPr>
        <w:t xml:space="preserve">Table 4. Data Classification and AI Handling Principles</w:t>
      </w:r>
    </w:p>
    <w:tbl>
      <w:tblPr>
        <w:tblW w:type="pct" w:w="100%"/>
        <w:tblBorders>
          <w:top w:val="single" w:color="529286" w:sz="6"/>
          <w:left w:val="none"/>
          <w:bottom w:val="single" w:color="529286" w:sz="6"/>
          <w:right w:val="none"/>
          <w:insideH w:val="single" w:color="BECFCC" w:sz="1"/>
          <w:insideV w:val="none"/>
        </w:tblBorders>
        <w:tblLayout w:type="fixed"/>
      </w:tblPr>
      <w:tblGrid>
        <w:gridCol w:w="100"/>
        <w:gridCol w:w="100"/>
        <w:gridCol w:w="100"/>
      </w:tblGrid>
      <w:tr>
        <w:trPr>
          <w:cantSplit/>
          <w:tblHeader/>
        </w:trPr>
        <w:tc>
          <w:tcPr>
            <w:tcW w:type="pct" w:w="18%"/>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Classification</w:t>
            </w:r>
          </w:p>
        </w:tc>
        <w:tc>
          <w:tcPr>
            <w:tcW w:type="pct" w:w="40%"/>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Examples</w:t>
            </w:r>
          </w:p>
        </w:tc>
        <w:tc>
          <w:tcPr>
            <w:tcW w:type="pct" w:w="42%"/>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AI Handling Principle</w:t>
            </w:r>
          </w:p>
        </w:tc>
      </w:tr>
      <w:tr>
        <w:trPr>
          <w:cantSplit/>
        </w:trPr>
        <w:tc>
          <w:tcPr>
            <w:tcW w:type="pct" w:w="18%"/>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Public</w:t>
            </w:r>
          </w:p>
        </w:tc>
        <w:tc>
          <w:tcPr>
            <w:tcW w:type="pct" w:w="40%"/>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Website content, public brochures</w:t>
            </w:r>
          </w:p>
        </w:tc>
        <w:tc>
          <w:tcPr>
            <w:tcW w:type="pct" w:w="42%"/>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Generally suitable for approved public-facing AI workflows</w:t>
            </w:r>
          </w:p>
        </w:tc>
      </w:tr>
      <w:tr>
        <w:trPr>
          <w:cantSplit/>
        </w:trPr>
        <w:tc>
          <w:tcPr>
            <w:tcW w:type="pct" w:w="18%"/>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Internal</w:t>
            </w:r>
          </w:p>
        </w:tc>
        <w:tc>
          <w:tcPr>
            <w:tcW w:type="pct" w:w="40%"/>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Internal procedures, internal reports</w:t>
            </w:r>
          </w:p>
        </w:tc>
        <w:tc>
          <w:tcPr>
            <w:tcW w:type="pct" w:w="42%"/>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Use approved business AI environments</w:t>
            </w:r>
          </w:p>
        </w:tc>
      </w:tr>
      <w:tr>
        <w:trPr>
          <w:cantSplit/>
        </w:trPr>
        <w:tc>
          <w:tcPr>
            <w:tcW w:type="pct" w:w="18%"/>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Confidential</w:t>
            </w:r>
          </w:p>
        </w:tc>
        <w:tc>
          <w:tcPr>
            <w:tcW w:type="pct" w:w="40%"/>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Contracts, pricing, business plans, customer data</w:t>
            </w:r>
          </w:p>
        </w:tc>
        <w:tc>
          <w:tcPr>
            <w:tcW w:type="pct" w:w="42%"/>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Only approved environments with appropriate controls</w:t>
            </w:r>
          </w:p>
        </w:tc>
      </w:tr>
      <w:tr>
        <w:trPr>
          <w:cantSplit/>
        </w:trPr>
        <w:tc>
          <w:tcPr>
            <w:tcW w:type="pct" w:w="18%"/>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Restricted</w:t>
            </w:r>
          </w:p>
        </w:tc>
        <w:tc>
          <w:tcPr>
            <w:tcW w:type="pct" w:w="40%"/>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Passwords, API keys, credentials, highly sensitive information</w:t>
            </w:r>
          </w:p>
        </w:tc>
        <w:tc>
          <w:tcPr>
            <w:tcW w:type="pct" w:w="42%"/>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Do not enter into AI systems unless explicitly authorized and protected</w:t>
            </w:r>
          </w:p>
        </w:tc>
      </w:tr>
    </w:tbl>
    <w:p>
      <w:pPr>
        <w:spacing w:after="160" w:before="160" w:line="312"/>
        <w:jc w:val="center"/>
      </w:pPr>
      <w:r>
        <w:rPr>
          <w:rFonts w:ascii="Times New Roman"/>
          <w:i/>
          <w:iCs/>
          <w:color w:val="529286"/>
          <w:sz w:val="24"/>
          <w:szCs w:val="24"/>
        </w:rPr>
        <w:t xml:space="preserve">Golden rule: Never put confidential or sensitive company information into an AI system unless that specific AI environment has been approved for that data.</w:t>
      </w:r>
    </w:p>
    <w:p>
      <w:pPr>
        <w:pStyle w:val="Heading1"/>
        <w:spacing w:after="160" w:before="360" w:line="312"/>
      </w:pPr>
      <w:bookmarkStart w:id="100013" w:name="_Toc100013"/>
      <w:r>
        <w:rPr>
          <w:rFonts w:ascii="Calibri"/>
          <w:b/>
          <w:bCs/>
          <w:color w:val="0B1C2C"/>
          <w:sz w:val="32"/>
          <w:szCs w:val="32"/>
        </w:rPr>
        <w:t xml:space="preserve">11. AI Security</w:t>
      </w:r>
      <w:bookmarkEnd w:id="100013"/>
    </w:p>
    <w:p>
      <w:pPr>
        <w:spacing w:after="100" w:line="312"/>
        <w:ind w:firstLine="480"/>
        <w:jc w:val="both"/>
      </w:pPr>
      <w:r>
        <w:rPr>
          <w:rFonts w:ascii="Times New Roman"/>
          <w:color w:val="1A1A1A"/>
          <w:sz w:val="24"/>
          <w:szCs w:val="24"/>
        </w:rPr>
        <w:t xml:space="preserve">AI security extends the organization's existing security controls to the new attack surfaces that AI introduces: prompts, model outputs, tool integrations and the agents that increasingly orchestrate them. The subsections below describe the controls that should be in place for every approved AI deployment.</w:t>
      </w:r>
    </w:p>
    <w:p>
      <w:pPr>
        <w:pStyle w:val="Heading2"/>
        <w:spacing w:after="120" w:before="240" w:line="312"/>
      </w:pPr>
      <w:bookmarkStart w:id="100014" w:name="_Toc100014"/>
      <w:r>
        <w:rPr>
          <w:rFonts w:ascii="Calibri"/>
          <w:b/>
          <w:bCs/>
          <w:color w:val="0B1C2C"/>
          <w:sz w:val="28"/>
          <w:szCs w:val="28"/>
        </w:rPr>
        <w:t xml:space="preserve">11.1 Access Control</w:t>
      </w:r>
      <w:bookmarkEnd w:id="100014"/>
    </w:p>
    <w:p>
      <w:pPr>
        <w:spacing w:after="100" w:line="312"/>
        <w:ind w:firstLine="480"/>
        <w:jc w:val="both"/>
      </w:pPr>
      <w:r>
        <w:rPr>
          <w:rFonts w:ascii="Times New Roman"/>
          <w:color w:val="1A1A1A"/>
          <w:sz w:val="24"/>
          <w:szCs w:val="24"/>
        </w:rPr>
        <w:t xml:space="preserve">Apply least privilege: employees should have only the AI capabilities and data access needed for their roles. Access should be provisioned through enterprise identity providers (SSO, MFA), reviewed on a regular cadence, and revoked promptly when no longer required.</w:t>
      </w:r>
    </w:p>
    <w:p>
      <w:pPr>
        <w:pStyle w:val="Heading2"/>
        <w:spacing w:after="120" w:before="240" w:line="312"/>
      </w:pPr>
      <w:bookmarkStart w:id="100015" w:name="_Toc100015"/>
      <w:r>
        <w:rPr>
          <w:rFonts w:ascii="Calibri"/>
          <w:b/>
          <w:bCs/>
          <w:color w:val="0B1C2C"/>
          <w:sz w:val="28"/>
          <w:szCs w:val="28"/>
        </w:rPr>
        <w:t xml:space="preserve">11.2 Prompt Security</w:t>
      </w:r>
      <w:bookmarkEnd w:id="100015"/>
    </w:p>
    <w:p>
      <w:pPr>
        <w:spacing w:after="100" w:line="312"/>
        <w:ind w:firstLine="480"/>
        <w:jc w:val="both"/>
      </w:pPr>
      <w:r>
        <w:rPr>
          <w:rFonts w:ascii="Times New Roman"/>
          <w:color w:val="1A1A1A"/>
          <w:sz w:val="24"/>
          <w:szCs w:val="24"/>
        </w:rPr>
        <w:t xml:space="preserve">Prompts can contain sensitive information. Prefer approved, minimized and anonymized data where practical. Prompt-level data loss prevention (prompt DLP) should be enabled where available to detect and block the submission of restricted data to AI tools.</w:t>
      </w:r>
    </w:p>
    <w:p>
      <w:pPr>
        <w:pStyle w:val="Heading2"/>
        <w:spacing w:after="120" w:before="240" w:line="312"/>
      </w:pPr>
      <w:bookmarkStart w:id="100016" w:name="_Toc100016"/>
      <w:r>
        <w:rPr>
          <w:rFonts w:ascii="Calibri"/>
          <w:b/>
          <w:bCs/>
          <w:color w:val="0B1C2C"/>
          <w:sz w:val="28"/>
          <w:szCs w:val="28"/>
        </w:rPr>
        <w:t xml:space="preserve">11.3 Prompt Injection</w:t>
      </w:r>
      <w:bookmarkEnd w:id="100016"/>
    </w:p>
    <w:p>
      <w:pPr>
        <w:spacing w:after="100" w:line="312"/>
        <w:ind w:firstLine="480"/>
        <w:jc w:val="both"/>
      </w:pPr>
      <w:r>
        <w:rPr>
          <w:rFonts w:ascii="Times New Roman"/>
          <w:color w:val="1A1A1A"/>
          <w:sz w:val="24"/>
          <w:szCs w:val="24"/>
        </w:rPr>
        <w:t xml:space="preserve">Prompt injection occurs when untrusted content attempts to manipulate an AI system's instructions. AI applications should treat external content as data rather than automatically trusting instructions contained within it. For tool-using and agentic AI, prompt injection defense must be extended to cover retrieved documents, tool outputs and inter-agent messages.</w:t>
      </w:r>
    </w:p>
    <w:p>
      <w:pPr>
        <w:pStyle w:val="Heading2"/>
        <w:spacing w:after="120" w:before="240" w:line="312"/>
      </w:pPr>
      <w:bookmarkStart w:id="100017" w:name="_Toc100017"/>
      <w:r>
        <w:rPr>
          <w:rFonts w:ascii="Calibri"/>
          <w:b/>
          <w:bCs/>
          <w:color w:val="0B1C2C"/>
          <w:sz w:val="28"/>
          <w:szCs w:val="28"/>
        </w:rPr>
        <w:t xml:space="preserve">11.4 Hallucinations</w:t>
      </w:r>
      <w:bookmarkEnd w:id="100017"/>
    </w:p>
    <w:p>
      <w:pPr>
        <w:spacing w:after="100" w:line="312"/>
        <w:ind w:firstLine="480"/>
        <w:jc w:val="both"/>
      </w:pPr>
      <w:r>
        <w:rPr>
          <w:rFonts w:ascii="Times New Roman"/>
          <w:color w:val="1A1A1A"/>
          <w:sz w:val="24"/>
          <w:szCs w:val="24"/>
        </w:rPr>
        <w:t xml:space="preserve">AI-generated information can be incorrect while sounding convincing. Important outputs must be verified against trusted sources and reviewed by an appropriate human. For consequential outputs, the verification step should be documented and retained as part of the audit trail.</w:t>
      </w:r>
    </w:p>
    <w:p>
      <w:pPr>
        <w:pStyle w:val="Heading2"/>
        <w:spacing w:after="120" w:before="240" w:line="312"/>
      </w:pPr>
      <w:bookmarkStart w:id="100018" w:name="_Toc100018"/>
      <w:r>
        <w:rPr>
          <w:rFonts w:ascii="Calibri"/>
          <w:b/>
          <w:bCs/>
          <w:color w:val="0B1C2C"/>
          <w:sz w:val="28"/>
          <w:szCs w:val="28"/>
        </w:rPr>
        <w:t xml:space="preserve">11.5 Human-in-the-Loop</w:t>
      </w:r>
      <w:bookmarkEnd w:id="100018"/>
    </w:p>
    <w:p>
      <w:pPr>
        <w:spacing w:after="100" w:line="312"/>
        <w:ind w:firstLine="480"/>
        <w:jc w:val="both"/>
      </w:pPr>
      <w:r>
        <w:rPr>
          <w:rFonts w:ascii="Times New Roman"/>
          <w:color w:val="1A1A1A"/>
          <w:sz w:val="24"/>
          <w:szCs w:val="24"/>
        </w:rPr>
        <w:t xml:space="preserve">For consequential business decisions, AI should support decision-making rather than silently making the decision. Human-in-the-loop checkpoints should be defined by use case and risk tier, with the explicit authority to override AI output recorded in the policy.</w:t>
      </w:r>
    </w:p>
    <w:p>
      <w:pPr>
        <w:pStyle w:val="Heading1"/>
        <w:spacing w:after="160" w:before="360" w:line="312"/>
      </w:pPr>
      <w:bookmarkStart w:id="100019" w:name="_Toc100019"/>
      <w:r>
        <w:rPr>
          <w:rFonts w:ascii="Calibri"/>
          <w:b/>
          <w:bCs/>
          <w:color w:val="0B1C2C"/>
          <w:sz w:val="32"/>
          <w:szCs w:val="32"/>
        </w:rPr>
        <w:t xml:space="preserve">12. Department-wise AI Governance</w:t>
      </w:r>
      <w:bookmarkEnd w:id="100019"/>
    </w:p>
    <w:p>
      <w:pPr>
        <w:spacing w:after="100" w:line="312"/>
        <w:ind w:firstLine="480"/>
        <w:jc w:val="both"/>
      </w:pPr>
      <w:r>
        <w:rPr>
          <w:rFonts w:ascii="Times New Roman"/>
          <w:color w:val="1A1A1A"/>
          <w:sz w:val="24"/>
          <w:szCs w:val="24"/>
        </w:rPr>
        <w:t xml:space="preserve">Governance is most effective when it is translated into department-specific guidance that employees can apply in their daily work. The guidance below covers the most common business functions; each organization should adapt it to its own structure, risk appetite and regulatory environment.</w:t>
      </w:r>
    </w:p>
    <w:p>
      <w:pPr>
        <w:pStyle w:val="Heading2"/>
        <w:spacing w:after="120" w:before="240" w:line="312"/>
      </w:pPr>
      <w:bookmarkStart w:id="100020" w:name="_Toc100020"/>
      <w:r>
        <w:rPr>
          <w:rFonts w:ascii="Calibri"/>
          <w:b/>
          <w:bCs/>
          <w:color w:val="0B1C2C"/>
          <w:sz w:val="28"/>
          <w:szCs w:val="28"/>
        </w:rPr>
        <w:t xml:space="preserve">12.1 Marketing</w:t>
      </w:r>
      <w:bookmarkEnd w:id="100020"/>
    </w:p>
    <w:p>
      <w:pPr>
        <w:pStyle w:val="ListParagraph"/>
        <w:numPr>
          <w:ilvl w:val="0"/>
          <w:numId w:val="1"/>
        </w:numPr>
        <w:spacing w:after="60" w:line="312"/>
      </w:pPr>
      <w:r>
        <w:rPr>
          <w:rFonts w:ascii="Times New Roman"/>
          <w:color w:val="1A1A1A"/>
          <w:sz w:val="24"/>
          <w:szCs w:val="24"/>
        </w:rPr>
        <w:t xml:space="preserve">Use AI for campaigns, social media, content, segmentation and research.</w:t>
      </w:r>
    </w:p>
    <w:p>
      <w:pPr>
        <w:pStyle w:val="ListParagraph"/>
        <w:numPr>
          <w:ilvl w:val="0"/>
          <w:numId w:val="1"/>
        </w:numPr>
        <w:spacing w:after="60" w:line="312"/>
      </w:pPr>
      <w:r>
        <w:rPr>
          <w:rFonts w:ascii="Times New Roman"/>
          <w:color w:val="1A1A1A"/>
          <w:sz w:val="24"/>
          <w:szCs w:val="24"/>
        </w:rPr>
        <w:t xml:space="preserve">Fact-check and brand-check AI content before publication.</w:t>
      </w:r>
    </w:p>
    <w:p>
      <w:pPr>
        <w:pStyle w:val="ListParagraph"/>
        <w:numPr>
          <w:ilvl w:val="0"/>
          <w:numId w:val="1"/>
        </w:numPr>
        <w:spacing w:after="60" w:line="312"/>
      </w:pPr>
      <w:r>
        <w:rPr>
          <w:rFonts w:ascii="Times New Roman"/>
          <w:color w:val="1A1A1A"/>
          <w:sz w:val="24"/>
          <w:szCs w:val="24"/>
        </w:rPr>
        <w:t xml:space="preserve">Apply legal/compliance review where required, particularly for claims, testimonials and regulated industries.</w:t>
      </w:r>
    </w:p>
    <w:p>
      <w:pPr>
        <w:pStyle w:val="Heading2"/>
        <w:spacing w:after="120" w:before="240" w:line="312"/>
      </w:pPr>
      <w:bookmarkStart w:id="100021" w:name="_Toc100021"/>
      <w:r>
        <w:rPr>
          <w:rFonts w:ascii="Calibri"/>
          <w:b/>
          <w:bCs/>
          <w:color w:val="0B1C2C"/>
          <w:sz w:val="28"/>
          <w:szCs w:val="28"/>
        </w:rPr>
        <w:t xml:space="preserve">12.2 Business Development &amp; Sales</w:t>
      </w:r>
      <w:bookmarkEnd w:id="100021"/>
    </w:p>
    <w:p>
      <w:pPr>
        <w:pStyle w:val="ListParagraph"/>
        <w:numPr>
          <w:ilvl w:val="0"/>
          <w:numId w:val="1"/>
        </w:numPr>
        <w:spacing w:after="60" w:line="312"/>
      </w:pPr>
      <w:r>
        <w:rPr>
          <w:rFonts w:ascii="Times New Roman"/>
          <w:color w:val="1A1A1A"/>
          <w:sz w:val="24"/>
          <w:szCs w:val="24"/>
        </w:rPr>
        <w:t xml:space="preserve">Use AI for prospect research, lead qualification, outreach, meeting summaries and proposals.</w:t>
      </w:r>
    </w:p>
    <w:p>
      <w:pPr>
        <w:pStyle w:val="ListParagraph"/>
        <w:numPr>
          <w:ilvl w:val="0"/>
          <w:numId w:val="1"/>
        </w:numPr>
        <w:spacing w:after="60" w:line="312"/>
      </w:pPr>
      <w:r>
        <w:rPr>
          <w:rFonts w:ascii="Times New Roman"/>
          <w:color w:val="1A1A1A"/>
          <w:sz w:val="24"/>
          <w:szCs w:val="24"/>
        </w:rPr>
        <w:t xml:space="preserve">Verify lead data and respect applicable privacy and marketing rules (e.g., GDPR, CAN-SPAM, opt-out registers).</w:t>
      </w:r>
    </w:p>
    <w:p>
      <w:pPr>
        <w:pStyle w:val="ListParagraph"/>
        <w:numPr>
          <w:ilvl w:val="0"/>
          <w:numId w:val="1"/>
        </w:numPr>
        <w:spacing w:after="60" w:line="312"/>
      </w:pPr>
      <w:r>
        <w:rPr>
          <w:rFonts w:ascii="Times New Roman"/>
          <w:color w:val="1A1A1A"/>
          <w:sz w:val="24"/>
          <w:szCs w:val="24"/>
        </w:rPr>
        <w:t xml:space="preserve">Monitor automated outreach and maintain opt-out mechanisms where required.</w:t>
      </w:r>
    </w:p>
    <w:p>
      <w:pPr>
        <w:pStyle w:val="Heading2"/>
        <w:spacing w:after="120" w:before="240" w:line="312"/>
      </w:pPr>
      <w:bookmarkStart w:id="100022" w:name="_Toc100022"/>
      <w:r>
        <w:rPr>
          <w:rFonts w:ascii="Calibri"/>
          <w:b/>
          <w:bCs/>
          <w:color w:val="0B1C2C"/>
          <w:sz w:val="28"/>
          <w:szCs w:val="28"/>
        </w:rPr>
        <w:t xml:space="preserve">12.3 Customer Service</w:t>
      </w:r>
      <w:bookmarkEnd w:id="100022"/>
    </w:p>
    <w:p>
      <w:pPr>
        <w:pStyle w:val="ListParagraph"/>
        <w:numPr>
          <w:ilvl w:val="0"/>
          <w:numId w:val="1"/>
        </w:numPr>
        <w:spacing w:after="60" w:line="312"/>
      </w:pPr>
      <w:r>
        <w:rPr>
          <w:rFonts w:ascii="Times New Roman"/>
          <w:color w:val="1A1A1A"/>
          <w:sz w:val="24"/>
          <w:szCs w:val="24"/>
        </w:rPr>
        <w:t xml:space="preserve">Use approved knowledge sources and approved AI assistants.</w:t>
      </w:r>
    </w:p>
    <w:p>
      <w:pPr>
        <w:pStyle w:val="ListParagraph"/>
        <w:numPr>
          <w:ilvl w:val="0"/>
          <w:numId w:val="1"/>
        </w:numPr>
        <w:spacing w:after="60" w:line="312"/>
      </w:pPr>
      <w:r>
        <w:rPr>
          <w:rFonts w:ascii="Times New Roman"/>
          <w:color w:val="1A1A1A"/>
          <w:sz w:val="24"/>
          <w:szCs w:val="24"/>
        </w:rPr>
        <w:t xml:space="preserve">Provide human escalation for complex or sensitive cases.</w:t>
      </w:r>
    </w:p>
    <w:p>
      <w:pPr>
        <w:pStyle w:val="ListParagraph"/>
        <w:numPr>
          <w:ilvl w:val="0"/>
          <w:numId w:val="1"/>
        </w:numPr>
        <w:spacing w:after="60" w:line="312"/>
      </w:pPr>
      <w:r>
        <w:rPr>
          <w:rFonts w:ascii="Times New Roman"/>
          <w:color w:val="1A1A1A"/>
          <w:sz w:val="24"/>
          <w:szCs w:val="24"/>
        </w:rPr>
        <w:t xml:space="preserve">Monitor conversations and protect customer information, including personal data and authentication details.</w:t>
      </w:r>
    </w:p>
    <w:p>
      <w:pPr>
        <w:pStyle w:val="Heading2"/>
        <w:spacing w:after="120" w:before="240" w:line="312"/>
      </w:pPr>
      <w:bookmarkStart w:id="100023" w:name="_Toc100023"/>
      <w:r>
        <w:rPr>
          <w:rFonts w:ascii="Calibri"/>
          <w:b/>
          <w:bCs/>
          <w:color w:val="0B1C2C"/>
          <w:sz w:val="28"/>
          <w:szCs w:val="28"/>
        </w:rPr>
        <w:t xml:space="preserve">12.4 HR</w:t>
      </w:r>
      <w:bookmarkEnd w:id="100023"/>
    </w:p>
    <w:p>
      <w:pPr>
        <w:pStyle w:val="ListParagraph"/>
        <w:numPr>
          <w:ilvl w:val="0"/>
          <w:numId w:val="1"/>
        </w:numPr>
        <w:spacing w:after="60" w:line="312"/>
      </w:pPr>
      <w:r>
        <w:rPr>
          <w:rFonts w:ascii="Times New Roman"/>
          <w:color w:val="1A1A1A"/>
          <w:sz w:val="24"/>
          <w:szCs w:val="24"/>
        </w:rPr>
        <w:t xml:space="preserve">AI may support job descriptions, interview questions and training.</w:t>
      </w:r>
    </w:p>
    <w:p>
      <w:pPr>
        <w:pStyle w:val="ListParagraph"/>
        <w:numPr>
          <w:ilvl w:val="0"/>
          <w:numId w:val="1"/>
        </w:numPr>
        <w:spacing w:after="60" w:line="312"/>
      </w:pPr>
      <w:r>
        <w:rPr>
          <w:rFonts w:ascii="Times New Roman"/>
          <w:color w:val="1A1A1A"/>
          <w:sz w:val="24"/>
          <w:szCs w:val="24"/>
        </w:rPr>
        <w:t xml:space="preserve">High-impact uses such as hiring or employee evaluation require stronger controls and human oversight, including documented review of AI-influenced decisions.</w:t>
      </w:r>
    </w:p>
    <w:p>
      <w:pPr>
        <w:pStyle w:val="Heading2"/>
        <w:spacing w:after="120" w:before="240" w:line="312"/>
      </w:pPr>
      <w:bookmarkStart w:id="100024" w:name="_Toc100024"/>
      <w:r>
        <w:rPr>
          <w:rFonts w:ascii="Calibri"/>
          <w:b/>
          <w:bCs/>
          <w:color w:val="0B1C2C"/>
          <w:sz w:val="28"/>
          <w:szCs w:val="28"/>
        </w:rPr>
        <w:t xml:space="preserve">12.5 Finance</w:t>
      </w:r>
      <w:bookmarkEnd w:id="100024"/>
    </w:p>
    <w:p>
      <w:pPr>
        <w:pStyle w:val="ListParagraph"/>
        <w:numPr>
          <w:ilvl w:val="0"/>
          <w:numId w:val="1"/>
        </w:numPr>
        <w:spacing w:after="60" w:line="312"/>
      </w:pPr>
      <w:r>
        <w:rPr>
          <w:rFonts w:ascii="Times New Roman"/>
          <w:color w:val="1A1A1A"/>
          <w:sz w:val="24"/>
          <w:szCs w:val="24"/>
        </w:rPr>
        <w:t xml:space="preserve">Use AI for reporting and analysis where approved.</w:t>
      </w:r>
    </w:p>
    <w:p>
      <w:pPr>
        <w:pStyle w:val="ListParagraph"/>
        <w:numPr>
          <w:ilvl w:val="0"/>
          <w:numId w:val="1"/>
        </w:numPr>
        <w:spacing w:after="60" w:line="312"/>
      </w:pPr>
      <w:r>
        <w:rPr>
          <w:rFonts w:ascii="Times New Roman"/>
          <w:color w:val="1A1A1A"/>
          <w:sz w:val="24"/>
          <w:szCs w:val="24"/>
        </w:rPr>
        <w:t xml:space="preserve">Maintain human approval, audit trails, access controls and segregation of duties for sensitive decisions.</w:t>
      </w:r>
    </w:p>
    <w:p>
      <w:pPr>
        <w:pStyle w:val="Heading2"/>
        <w:spacing w:after="120" w:before="240" w:line="312"/>
      </w:pPr>
      <w:bookmarkStart w:id="100025" w:name="_Toc100025"/>
      <w:r>
        <w:rPr>
          <w:rFonts w:ascii="Calibri"/>
          <w:b/>
          <w:bCs/>
          <w:color w:val="0B1C2C"/>
          <w:sz w:val="28"/>
          <w:szCs w:val="28"/>
        </w:rPr>
        <w:t xml:space="preserve">12.6 Software Development</w:t>
      </w:r>
      <w:bookmarkEnd w:id="100025"/>
    </w:p>
    <w:p>
      <w:pPr>
        <w:pStyle w:val="ListParagraph"/>
        <w:numPr>
          <w:ilvl w:val="0"/>
          <w:numId w:val="1"/>
        </w:numPr>
        <w:spacing w:after="60" w:line="312"/>
      </w:pPr>
      <w:r>
        <w:rPr>
          <w:rFonts w:ascii="Times New Roman"/>
          <w:color w:val="1A1A1A"/>
          <w:sz w:val="24"/>
          <w:szCs w:val="24"/>
        </w:rPr>
        <w:t xml:space="preserve">Review AI-generated code before merging to mainline.</w:t>
      </w:r>
    </w:p>
    <w:p>
      <w:pPr>
        <w:pStyle w:val="ListParagraph"/>
        <w:numPr>
          <w:ilvl w:val="0"/>
          <w:numId w:val="1"/>
        </w:numPr>
        <w:spacing w:after="60" w:line="312"/>
      </w:pPr>
      <w:r>
        <w:rPr>
          <w:rFonts w:ascii="Times New Roman"/>
          <w:color w:val="1A1A1A"/>
          <w:sz w:val="24"/>
          <w:szCs w:val="24"/>
        </w:rPr>
        <w:t xml:space="preserve">Run security scanning and testing on AI-assisted code paths.</w:t>
      </w:r>
    </w:p>
    <w:p>
      <w:pPr>
        <w:pStyle w:val="ListParagraph"/>
        <w:numPr>
          <w:ilvl w:val="0"/>
          <w:numId w:val="1"/>
        </w:numPr>
        <w:spacing w:after="60" w:line="312"/>
      </w:pPr>
      <w:r>
        <w:rPr>
          <w:rFonts w:ascii="Times New Roman"/>
          <w:color w:val="1A1A1A"/>
          <w:sz w:val="24"/>
          <w:szCs w:val="24"/>
        </w:rPr>
        <w:t xml:space="preserve">Prevent exposure of secrets, credentials and proprietary information in prompts.</w:t>
      </w:r>
    </w:p>
    <w:p>
      <w:pPr>
        <w:pStyle w:val="Heading1"/>
        <w:spacing w:after="160" w:before="360" w:line="312"/>
      </w:pPr>
      <w:bookmarkStart w:id="100026" w:name="_Toc100026"/>
      <w:r>
        <w:rPr>
          <w:rFonts w:ascii="Calibri"/>
          <w:b/>
          <w:bCs/>
          <w:color w:val="0B1C2C"/>
          <w:sz w:val="32"/>
          <w:szCs w:val="32"/>
        </w:rPr>
        <w:t xml:space="preserve">13. AI Governance Policy</w:t>
      </w:r>
      <w:bookmarkEnd w:id="100026"/>
    </w:p>
    <w:p>
      <w:pPr>
        <w:spacing w:after="100" w:line="312"/>
        <w:ind w:firstLine="480"/>
        <w:jc w:val="both"/>
      </w:pPr>
      <w:r>
        <w:rPr>
          <w:rFonts w:ascii="Times New Roman"/>
          <w:color w:val="1A1A1A"/>
          <w:sz w:val="24"/>
          <w:szCs w:val="24"/>
        </w:rPr>
        <w:t xml:space="preserve">The AI Governance Policy is the authoritative document that defines what employees may, must and must not do when using AI. It should be short enough to be read in fifteen minutes, specific enough to be enforced, and reviewed at least annually. The structure below (May / Must / Must Not) is the recommended minimum content.</w:t>
      </w:r>
    </w:p>
    <w:p>
      <w:pPr>
        <w:pStyle w:val="Heading2"/>
        <w:spacing w:after="120" w:before="240" w:line="312"/>
      </w:pPr>
      <w:bookmarkStart w:id="100027" w:name="_Toc100027"/>
      <w:r>
        <w:rPr>
          <w:rFonts w:ascii="Calibri"/>
          <w:b/>
          <w:bCs/>
          <w:color w:val="0B1C2C"/>
          <w:sz w:val="28"/>
          <w:szCs w:val="28"/>
        </w:rPr>
        <w:t xml:space="preserve">13.1 Employees MAY</w:t>
      </w:r>
      <w:bookmarkEnd w:id="100027"/>
    </w:p>
    <w:p>
      <w:pPr>
        <w:pStyle w:val="ListParagraph"/>
        <w:numPr>
          <w:ilvl w:val="0"/>
          <w:numId w:val="1"/>
        </w:numPr>
        <w:spacing w:after="60" w:line="312"/>
      </w:pPr>
      <w:r>
        <w:rPr>
          <w:rFonts w:ascii="Times New Roman"/>
          <w:color w:val="1A1A1A"/>
          <w:sz w:val="24"/>
          <w:szCs w:val="24"/>
        </w:rPr>
        <w:t xml:space="preserve">Use approved AI tools for business purposes.</w:t>
      </w:r>
    </w:p>
    <w:p>
      <w:pPr>
        <w:pStyle w:val="ListParagraph"/>
        <w:numPr>
          <w:ilvl w:val="0"/>
          <w:numId w:val="1"/>
        </w:numPr>
        <w:spacing w:after="60" w:line="312"/>
      </w:pPr>
      <w:r>
        <w:rPr>
          <w:rFonts w:ascii="Times New Roman"/>
          <w:color w:val="1A1A1A"/>
          <w:sz w:val="24"/>
          <w:szCs w:val="24"/>
        </w:rPr>
        <w:t xml:space="preserve">Generate drafts, summaries and analyses of approved data.</w:t>
      </w:r>
    </w:p>
    <w:p>
      <w:pPr>
        <w:pStyle w:val="ListParagraph"/>
        <w:numPr>
          <w:ilvl w:val="0"/>
          <w:numId w:val="1"/>
        </w:numPr>
        <w:spacing w:after="60" w:line="312"/>
      </w:pPr>
      <w:r>
        <w:rPr>
          <w:rFonts w:ascii="Times New Roman"/>
          <w:color w:val="1A1A1A"/>
          <w:sz w:val="24"/>
          <w:szCs w:val="24"/>
        </w:rPr>
        <w:t xml:space="preserve">Use AI for brainstorming and productivity improvement.</w:t>
      </w:r>
    </w:p>
    <w:p>
      <w:pPr>
        <w:pStyle w:val="ListParagraph"/>
        <w:numPr>
          <w:ilvl w:val="0"/>
          <w:numId w:val="1"/>
        </w:numPr>
        <w:spacing w:after="60" w:line="312"/>
      </w:pPr>
      <w:r>
        <w:rPr>
          <w:rFonts w:ascii="Times New Roman"/>
          <w:color w:val="1A1A1A"/>
          <w:sz w:val="24"/>
          <w:szCs w:val="24"/>
        </w:rPr>
        <w:t xml:space="preserve">Experiment with new approved tools inside the limits set by this policy.</w:t>
      </w:r>
    </w:p>
    <w:p>
      <w:pPr>
        <w:pStyle w:val="Heading2"/>
        <w:spacing w:after="120" w:before="240" w:line="312"/>
      </w:pPr>
      <w:bookmarkStart w:id="100028" w:name="_Toc100028"/>
      <w:r>
        <w:rPr>
          <w:rFonts w:ascii="Calibri"/>
          <w:b/>
          <w:bCs/>
          <w:color w:val="0B1C2C"/>
          <w:sz w:val="28"/>
          <w:szCs w:val="28"/>
        </w:rPr>
        <w:t xml:space="preserve">13.2 Employees MUST</w:t>
      </w:r>
      <w:bookmarkEnd w:id="100028"/>
    </w:p>
    <w:p>
      <w:pPr>
        <w:pStyle w:val="ListParagraph"/>
        <w:numPr>
          <w:ilvl w:val="0"/>
          <w:numId w:val="1"/>
        </w:numPr>
        <w:spacing w:after="60" w:line="312"/>
      </w:pPr>
      <w:r>
        <w:rPr>
          <w:rFonts w:ascii="Times New Roman"/>
          <w:color w:val="1A1A1A"/>
          <w:sz w:val="24"/>
          <w:szCs w:val="24"/>
        </w:rPr>
        <w:t xml:space="preserve">Verify important AI outputs before relying on them.</w:t>
      </w:r>
    </w:p>
    <w:p>
      <w:pPr>
        <w:pStyle w:val="ListParagraph"/>
        <w:numPr>
          <w:ilvl w:val="0"/>
          <w:numId w:val="1"/>
        </w:numPr>
        <w:spacing w:after="60" w:line="312"/>
      </w:pPr>
      <w:r>
        <w:rPr>
          <w:rFonts w:ascii="Times New Roman"/>
          <w:color w:val="1A1A1A"/>
          <w:sz w:val="24"/>
          <w:szCs w:val="24"/>
        </w:rPr>
        <w:t xml:space="preserve">Follow data-classification rules when submitting content to AI tools.</w:t>
      </w:r>
    </w:p>
    <w:p>
      <w:pPr>
        <w:pStyle w:val="ListParagraph"/>
        <w:numPr>
          <w:ilvl w:val="0"/>
          <w:numId w:val="1"/>
        </w:numPr>
        <w:spacing w:after="60" w:line="312"/>
      </w:pPr>
      <w:r>
        <w:rPr>
          <w:rFonts w:ascii="Times New Roman"/>
          <w:color w:val="1A1A1A"/>
          <w:sz w:val="24"/>
          <w:szCs w:val="24"/>
        </w:rPr>
        <w:t xml:space="preserve">Protect confidential and restricted information at all times.</w:t>
      </w:r>
    </w:p>
    <w:p>
      <w:pPr>
        <w:pStyle w:val="ListParagraph"/>
        <w:numPr>
          <w:ilvl w:val="0"/>
          <w:numId w:val="1"/>
        </w:numPr>
        <w:spacing w:after="60" w:line="312"/>
      </w:pPr>
      <w:r>
        <w:rPr>
          <w:rFonts w:ascii="Times New Roman"/>
          <w:color w:val="1A1A1A"/>
          <w:sz w:val="24"/>
          <w:szCs w:val="24"/>
        </w:rPr>
        <w:t xml:space="preserve">Report AI-related incidents and near-misses through the official channel.</w:t>
      </w:r>
    </w:p>
    <w:p>
      <w:pPr>
        <w:pStyle w:val="Heading2"/>
        <w:spacing w:after="120" w:before="240" w:line="312"/>
      </w:pPr>
      <w:bookmarkStart w:id="100029" w:name="_Toc100029"/>
      <w:r>
        <w:rPr>
          <w:rFonts w:ascii="Calibri"/>
          <w:b/>
          <w:bCs/>
          <w:color w:val="0B1C2C"/>
          <w:sz w:val="28"/>
          <w:szCs w:val="28"/>
        </w:rPr>
        <w:t xml:space="preserve">13.3 Employees MUST NOT</w:t>
      </w:r>
      <w:bookmarkEnd w:id="100029"/>
    </w:p>
    <w:p>
      <w:pPr>
        <w:pStyle w:val="ListParagraph"/>
        <w:numPr>
          <w:ilvl w:val="0"/>
          <w:numId w:val="1"/>
        </w:numPr>
        <w:spacing w:after="60" w:line="312"/>
      </w:pPr>
      <w:r>
        <w:rPr>
          <w:rFonts w:ascii="Times New Roman"/>
          <w:color w:val="1A1A1A"/>
          <w:sz w:val="24"/>
          <w:szCs w:val="24"/>
        </w:rPr>
        <w:t xml:space="preserve">Share passwords, API keys or credentials with AI tools.</w:t>
      </w:r>
    </w:p>
    <w:p>
      <w:pPr>
        <w:pStyle w:val="ListParagraph"/>
        <w:numPr>
          <w:ilvl w:val="0"/>
          <w:numId w:val="1"/>
        </w:numPr>
        <w:spacing w:after="60" w:line="312"/>
      </w:pPr>
      <w:r>
        <w:rPr>
          <w:rFonts w:ascii="Times New Roman"/>
          <w:color w:val="1A1A1A"/>
          <w:sz w:val="24"/>
          <w:szCs w:val="24"/>
        </w:rPr>
        <w:t xml:space="preserve">Upload restricted information into unauthorized AI systems.</w:t>
      </w:r>
    </w:p>
    <w:p>
      <w:pPr>
        <w:pStyle w:val="ListParagraph"/>
        <w:numPr>
          <w:ilvl w:val="0"/>
          <w:numId w:val="1"/>
        </w:numPr>
        <w:spacing w:after="60" w:line="312"/>
      </w:pPr>
      <w:r>
        <w:rPr>
          <w:rFonts w:ascii="Times New Roman"/>
          <w:color w:val="1A1A1A"/>
          <w:sz w:val="24"/>
          <w:szCs w:val="24"/>
        </w:rPr>
        <w:t xml:space="preserve">Circumvent security controls (e.g., use personal accounts to bypass DLP).</w:t>
      </w:r>
    </w:p>
    <w:p>
      <w:pPr>
        <w:pStyle w:val="ListParagraph"/>
        <w:numPr>
          <w:ilvl w:val="0"/>
          <w:numId w:val="1"/>
        </w:numPr>
        <w:spacing w:after="60" w:line="312"/>
      </w:pPr>
      <w:r>
        <w:rPr>
          <w:rFonts w:ascii="Times New Roman"/>
          <w:color w:val="1A1A1A"/>
          <w:sz w:val="24"/>
          <w:szCs w:val="24"/>
        </w:rPr>
        <w:t xml:space="preserve">Present unverified AI output as verified fact.</w:t>
      </w:r>
    </w:p>
    <w:p>
      <w:pPr>
        <w:pStyle w:val="ListParagraph"/>
        <w:numPr>
          <w:ilvl w:val="0"/>
          <w:numId w:val="1"/>
        </w:numPr>
        <w:spacing w:after="60" w:line="312"/>
      </w:pPr>
      <w:r>
        <w:rPr>
          <w:rFonts w:ascii="Times New Roman"/>
          <w:color w:val="1A1A1A"/>
          <w:sz w:val="24"/>
          <w:szCs w:val="24"/>
        </w:rPr>
        <w:t xml:space="preserve">Use AI to make consequential decisions about individuals without the human review required by this policy.</w:t>
      </w:r>
    </w:p>
    <w:p>
      <w:pPr>
        <w:pStyle w:val="Heading1"/>
        <w:spacing w:after="160" w:before="360" w:line="312"/>
      </w:pPr>
      <w:bookmarkStart w:id="100030" w:name="_Toc100030"/>
      <w:r>
        <w:rPr>
          <w:rFonts w:ascii="Calibri"/>
          <w:b/>
          <w:bCs/>
          <w:color w:val="0B1C2C"/>
          <w:sz w:val="32"/>
          <w:szCs w:val="32"/>
        </w:rPr>
        <w:t xml:space="preserve">14. AI Governance Committee &amp; Roles</w:t>
      </w:r>
      <w:bookmarkEnd w:id="100030"/>
    </w:p>
    <w:p>
      <w:pPr>
        <w:spacing w:after="100" w:line="312"/>
        <w:ind w:firstLine="480"/>
        <w:jc w:val="both"/>
      </w:pPr>
      <w:r>
        <w:rPr>
          <w:rFonts w:ascii="Times New Roman"/>
          <w:color w:val="1A1A1A"/>
          <w:sz w:val="24"/>
          <w:szCs w:val="24"/>
        </w:rPr>
        <w:t xml:space="preserve">The AI Governance Committee is the cross-functional body that owns the program. It should meet at least quarterly, with ad-hoc meetings for material incidents or new high-risk use cases. The table below summarizes the recommended roles and their key responsibilities.</w:t>
      </w:r>
    </w:p>
    <w:p>
      <w:pPr>
        <w:keepNext/>
        <w:spacing w:after="80" w:before="200"/>
      </w:pPr>
      <w:r>
        <w:rPr>
          <w:rFonts w:ascii="Calibri"/>
          <w:b/>
          <w:bCs/>
          <w:color w:val="0B1C2C"/>
          <w:sz w:val="22"/>
          <w:szCs w:val="22"/>
        </w:rPr>
        <w:t xml:space="preserve">Table 5. AI Governance Committee Roles</w:t>
      </w:r>
    </w:p>
    <w:tbl>
      <w:tblPr>
        <w:tblW w:type="pct" w:w="100%"/>
        <w:tblBorders>
          <w:top w:val="single" w:color="529286" w:sz="6"/>
          <w:left w:val="none"/>
          <w:bottom w:val="single" w:color="529286" w:sz="6"/>
          <w:right w:val="none"/>
          <w:insideH w:val="single" w:color="BECFCC" w:sz="1"/>
          <w:insideV w:val="none"/>
        </w:tblBorders>
        <w:tblLayout w:type="fixed"/>
      </w:tblPr>
      <w:tblGrid>
        <w:gridCol w:w="100"/>
        <w:gridCol w:w="100"/>
      </w:tblGrid>
      <w:tr>
        <w:trPr>
          <w:cantSplit/>
          <w:tblHeader/>
        </w:trPr>
        <w:tc>
          <w:tcPr>
            <w:tcW w:type="pct" w:w="35%"/>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Role</w:t>
            </w:r>
          </w:p>
        </w:tc>
        <w:tc>
          <w:tcPr>
            <w:tcW w:type="pct" w:w="65%"/>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Key Responsibility</w:t>
            </w:r>
          </w:p>
        </w:tc>
      </w:tr>
      <w:tr>
        <w:trPr>
          <w:cantSplit/>
        </w:trPr>
        <w:tc>
          <w:tcPr>
            <w:tcW w:type="pct" w:w="3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Executive Sponsor</w:t>
            </w:r>
          </w:p>
        </w:tc>
        <w:tc>
          <w:tcPr>
            <w:tcW w:type="pct" w:w="6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Strategic ownership, funding and escalation authority</w:t>
            </w:r>
          </w:p>
        </w:tc>
      </w:tr>
      <w:tr>
        <w:trPr>
          <w:cantSplit/>
        </w:trPr>
        <w:tc>
          <w:tcPr>
            <w:tcW w:type="pct" w:w="3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AI Governance Lead</w:t>
            </w:r>
          </w:p>
        </w:tc>
        <w:tc>
          <w:tcPr>
            <w:tcW w:type="pct" w:w="6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Governance program coordination, policy ownership, reporting</w:t>
            </w:r>
          </w:p>
        </w:tc>
      </w:tr>
      <w:tr>
        <w:trPr>
          <w:cantSplit/>
        </w:trPr>
        <w:tc>
          <w:tcPr>
            <w:tcW w:type="pct" w:w="3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CISO / Security</w:t>
            </w:r>
          </w:p>
        </w:tc>
        <w:tc>
          <w:tcPr>
            <w:tcW w:type="pct" w:w="6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Security controls, threat model and incident response</w:t>
            </w:r>
          </w:p>
        </w:tc>
      </w:tr>
      <w:tr>
        <w:trPr>
          <w:cantSplit/>
        </w:trPr>
        <w:tc>
          <w:tcPr>
            <w:tcW w:type="pct" w:w="3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Legal / Compliance</w:t>
            </w:r>
          </w:p>
        </w:tc>
        <w:tc>
          <w:tcPr>
            <w:tcW w:type="pct" w:w="6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Legal and regulatory review, contracting, audit responses</w:t>
            </w:r>
          </w:p>
        </w:tc>
      </w:tr>
      <w:tr>
        <w:trPr>
          <w:cantSplit/>
        </w:trPr>
        <w:tc>
          <w:tcPr>
            <w:tcW w:type="pct" w:w="3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Privacy / Data Protection</w:t>
            </w:r>
          </w:p>
        </w:tc>
        <w:tc>
          <w:tcPr>
            <w:tcW w:type="pct" w:w="6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Privacy controls, DPIA, data handling standards</w:t>
            </w:r>
          </w:p>
        </w:tc>
      </w:tr>
      <w:tr>
        <w:trPr>
          <w:cantSplit/>
        </w:trPr>
        <w:tc>
          <w:tcPr>
            <w:tcW w:type="pct" w:w="3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IT</w:t>
            </w:r>
          </w:p>
        </w:tc>
        <w:tc>
          <w:tcPr>
            <w:tcW w:type="pct" w:w="6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Technology, identity, integrations and operational deployment</w:t>
            </w:r>
          </w:p>
        </w:tc>
      </w:tr>
      <w:tr>
        <w:trPr>
          <w:cantSplit/>
        </w:trPr>
        <w:tc>
          <w:tcPr>
            <w:tcW w:type="pct" w:w="3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Data / AI Team</w:t>
            </w:r>
          </w:p>
        </w:tc>
        <w:tc>
          <w:tcPr>
            <w:tcW w:type="pct" w:w="6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Data quality, models, evaluation and technical controls</w:t>
            </w:r>
          </w:p>
        </w:tc>
      </w:tr>
      <w:tr>
        <w:trPr>
          <w:cantSplit/>
        </w:trPr>
        <w:tc>
          <w:tcPr>
            <w:tcW w:type="pct" w:w="3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Department Owner</w:t>
            </w:r>
          </w:p>
        </w:tc>
        <w:tc>
          <w:tcPr>
            <w:tcW w:type="pct" w:w="6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Business justification and operational ownership of use cases</w:t>
            </w:r>
          </w:p>
        </w:tc>
      </w:tr>
      <w:tr>
        <w:trPr>
          <w:cantSplit/>
        </w:trPr>
        <w:tc>
          <w:tcPr>
            <w:tcW w:type="pct" w:w="3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Employees</w:t>
            </w:r>
          </w:p>
        </w:tc>
        <w:tc>
          <w:tcPr>
            <w:tcW w:type="pct" w:w="6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Responsible and policy-compliant AI usage in daily work</w:t>
            </w:r>
          </w:p>
        </w:tc>
      </w:tr>
    </w:tbl>
    <w:p>
      <w:pPr>
        <w:pStyle w:val="Heading1"/>
        <w:spacing w:after="160" w:before="360" w:line="312"/>
      </w:pPr>
      <w:bookmarkStart w:id="100031" w:name="_Toc100031"/>
      <w:r>
        <w:rPr>
          <w:rFonts w:ascii="Calibri"/>
          <w:b/>
          <w:bCs/>
          <w:color w:val="0B1C2C"/>
          <w:sz w:val="32"/>
          <w:szCs w:val="32"/>
        </w:rPr>
        <w:t xml:space="preserve">15. AI Incident Management</w:t>
      </w:r>
      <w:bookmarkEnd w:id="100031"/>
    </w:p>
    <w:p>
      <w:pPr>
        <w:spacing w:after="100" w:line="312"/>
        <w:ind w:firstLine="480"/>
        <w:jc w:val="both"/>
      </w:pPr>
      <w:r>
        <w:rPr>
          <w:rFonts w:ascii="Times New Roman"/>
          <w:color w:val="1A1A1A"/>
          <w:sz w:val="24"/>
          <w:szCs w:val="24"/>
        </w:rPr>
        <w:t xml:space="preserve">AI-related incidents should be handled through the same incident management process as other security and operational incidents, with AI-specific extensions for prompt injection, harmful outputs and incorrect automated decisions. The recommended workflow is:</w:t>
      </w:r>
    </w:p>
    <w:p>
      <w:pPr>
        <w:pStyle w:val="ListParagraph"/>
        <w:numPr>
          <w:ilvl w:val="0"/>
          <w:numId w:val="3"/>
        </w:numPr>
        <w:spacing w:after="60" w:line="312"/>
      </w:pPr>
      <w:r>
        <w:rPr>
          <w:rFonts w:ascii="Times New Roman"/>
          <w:color w:val="1A1A1A"/>
          <w:sz w:val="24"/>
          <w:szCs w:val="24"/>
        </w:rPr>
        <w:t xml:space="preserve">Incident detected (via monitoring, employee report or vendor notification).</w:t>
      </w:r>
    </w:p>
    <w:p>
      <w:pPr>
        <w:pStyle w:val="ListParagraph"/>
        <w:numPr>
          <w:ilvl w:val="0"/>
          <w:numId w:val="3"/>
        </w:numPr>
        <w:spacing w:after="60" w:line="312"/>
      </w:pPr>
      <w:r>
        <w:rPr>
          <w:rFonts w:ascii="Times New Roman"/>
          <w:color w:val="1A1A1A"/>
          <w:sz w:val="24"/>
          <w:szCs w:val="24"/>
        </w:rPr>
        <w:t xml:space="preserve">Report to the AI Governance Lead and the security team within the defined SLA.</w:t>
      </w:r>
    </w:p>
    <w:p>
      <w:pPr>
        <w:pStyle w:val="ListParagraph"/>
        <w:numPr>
          <w:ilvl w:val="0"/>
          <w:numId w:val="3"/>
        </w:numPr>
        <w:spacing w:after="60" w:line="312"/>
      </w:pPr>
      <w:r>
        <w:rPr>
          <w:rFonts w:ascii="Times New Roman"/>
          <w:color w:val="1A1A1A"/>
          <w:sz w:val="24"/>
          <w:szCs w:val="24"/>
        </w:rPr>
        <w:t xml:space="preserve">Classify severity based on data sensitivity, business impact and regulatory exposure.</w:t>
      </w:r>
    </w:p>
    <w:p>
      <w:pPr>
        <w:pStyle w:val="ListParagraph"/>
        <w:numPr>
          <w:ilvl w:val="0"/>
          <w:numId w:val="3"/>
        </w:numPr>
        <w:spacing w:after="60" w:line="312"/>
      </w:pPr>
      <w:r>
        <w:rPr>
          <w:rFonts w:ascii="Times New Roman"/>
          <w:color w:val="1A1A1A"/>
          <w:sz w:val="24"/>
          <w:szCs w:val="24"/>
        </w:rPr>
        <w:t xml:space="preserve">Contain the incident (disable accounts, revoke access, suspend use case).</w:t>
      </w:r>
    </w:p>
    <w:p>
      <w:pPr>
        <w:pStyle w:val="ListParagraph"/>
        <w:numPr>
          <w:ilvl w:val="0"/>
          <w:numId w:val="3"/>
        </w:numPr>
        <w:spacing w:after="60" w:line="312"/>
      </w:pPr>
      <w:r>
        <w:rPr>
          <w:rFonts w:ascii="Times New Roman"/>
          <w:color w:val="1A1A1A"/>
          <w:sz w:val="24"/>
          <w:szCs w:val="24"/>
        </w:rPr>
        <w:t xml:space="preserve">Investigate root cause and scope.</w:t>
      </w:r>
    </w:p>
    <w:p>
      <w:pPr>
        <w:pStyle w:val="ListParagraph"/>
        <w:numPr>
          <w:ilvl w:val="0"/>
          <w:numId w:val="3"/>
        </w:numPr>
        <w:spacing w:after="60" w:line="312"/>
      </w:pPr>
      <w:r>
        <w:rPr>
          <w:rFonts w:ascii="Times New Roman"/>
          <w:color w:val="1A1A1A"/>
          <w:sz w:val="24"/>
          <w:szCs w:val="24"/>
        </w:rPr>
        <w:t xml:space="preserve">Correct (patch controls, update policy, retrain affected users).</w:t>
      </w:r>
    </w:p>
    <w:p>
      <w:pPr>
        <w:pStyle w:val="ListParagraph"/>
        <w:numPr>
          <w:ilvl w:val="0"/>
          <w:numId w:val="3"/>
        </w:numPr>
        <w:spacing w:after="60" w:line="312"/>
      </w:pPr>
      <w:r>
        <w:rPr>
          <w:rFonts w:ascii="Times New Roman"/>
          <w:color w:val="1A1A1A"/>
          <w:sz w:val="24"/>
          <w:szCs w:val="24"/>
        </w:rPr>
        <w:t xml:space="preserve">Document the incident and the response.</w:t>
      </w:r>
    </w:p>
    <w:p>
      <w:pPr>
        <w:pStyle w:val="ListParagraph"/>
        <w:numPr>
          <w:ilvl w:val="0"/>
          <w:numId w:val="3"/>
        </w:numPr>
        <w:spacing w:after="60" w:line="312"/>
      </w:pPr>
      <w:r>
        <w:rPr>
          <w:rFonts w:ascii="Times New Roman"/>
          <w:color w:val="1A1A1A"/>
          <w:sz w:val="24"/>
          <w:szCs w:val="24"/>
        </w:rPr>
        <w:t xml:space="preserve">Capture lessons learned and update the risk register.</w:t>
      </w:r>
    </w:p>
    <w:p>
      <w:pPr>
        <w:pStyle w:val="ListParagraph"/>
        <w:numPr>
          <w:ilvl w:val="0"/>
          <w:numId w:val="3"/>
        </w:numPr>
        <w:spacing w:after="60" w:line="312"/>
      </w:pPr>
      <w:r>
        <w:rPr>
          <w:rFonts w:ascii="Times New Roman"/>
          <w:color w:val="1A1A1A"/>
          <w:sz w:val="24"/>
          <w:szCs w:val="24"/>
        </w:rPr>
        <w:t xml:space="preserve">Improve controls to prevent recurrence.</w:t>
      </w:r>
    </w:p>
    <w:p>
      <w:pPr>
        <w:spacing w:after="100" w:line="312"/>
        <w:ind w:firstLine="480"/>
        <w:jc w:val="both"/>
      </w:pPr>
      <w:r>
        <w:rPr>
          <w:rFonts w:ascii="Times New Roman"/>
          <w:color w:val="1A1A1A"/>
          <w:sz w:val="24"/>
          <w:szCs w:val="24"/>
        </w:rPr>
        <w:t xml:space="preserve">Possible incidents include confidential-data exposure, unauthorized AI tools, account compromise, prompt injection, harmful outputs, model failure, vendor security incidents and incorrect automated decisions.</w:t>
      </w:r>
    </w:p>
    <w:p>
      <w:pPr>
        <w:pStyle w:val="Heading1"/>
        <w:spacing w:after="160" w:before="360" w:line="312"/>
      </w:pPr>
      <w:bookmarkStart w:id="100032" w:name="_Toc100032"/>
      <w:r>
        <w:rPr>
          <w:rFonts w:ascii="Calibri"/>
          <w:b/>
          <w:bCs/>
          <w:color w:val="0B1C2C"/>
          <w:sz w:val="32"/>
          <w:szCs w:val="32"/>
        </w:rPr>
        <w:t xml:space="preserve">16. Monitoring Dashboard</w:t>
      </w:r>
      <w:bookmarkEnd w:id="100032"/>
    </w:p>
    <w:p>
      <w:pPr>
        <w:spacing w:after="100" w:line="312"/>
        <w:ind w:firstLine="480"/>
        <w:jc w:val="both"/>
      </w:pPr>
      <w:r>
        <w:rPr>
          <w:rFonts w:ascii="Times New Roman"/>
          <w:color w:val="1A1A1A"/>
          <w:sz w:val="24"/>
          <w:szCs w:val="24"/>
        </w:rPr>
        <w:t xml:space="preserve">The monitoring dashboard is the operational view of the AI governance program. It should be reviewed by the AI Governance Lead at least monthly, and by the AI Governance Committee at least quarterly. The table below summarizes the six core monitoring areas and example metrics for each.</w:t>
      </w:r>
    </w:p>
    <w:p>
      <w:pPr>
        <w:keepNext/>
        <w:spacing w:after="80" w:before="200"/>
      </w:pPr>
      <w:r>
        <w:rPr>
          <w:rFonts w:ascii="Calibri"/>
          <w:b/>
          <w:bCs/>
          <w:color w:val="0B1C2C"/>
          <w:sz w:val="22"/>
          <w:szCs w:val="22"/>
        </w:rPr>
        <w:t xml:space="preserve">Table 6. AI Governance Monitoring Dashboard</w:t>
      </w:r>
    </w:p>
    <w:tbl>
      <w:tblPr>
        <w:tblW w:type="pct" w:w="100%"/>
        <w:tblBorders>
          <w:top w:val="single" w:color="529286" w:sz="6"/>
          <w:left w:val="none"/>
          <w:bottom w:val="single" w:color="529286" w:sz="6"/>
          <w:right w:val="none"/>
          <w:insideH w:val="single" w:color="BECFCC" w:sz="1"/>
          <w:insideV w:val="none"/>
        </w:tblBorders>
        <w:tblLayout w:type="fixed"/>
      </w:tblPr>
      <w:tblGrid>
        <w:gridCol w:w="100"/>
        <w:gridCol w:w="100"/>
      </w:tblGrid>
      <w:tr>
        <w:trPr>
          <w:cantSplit/>
          <w:tblHeader/>
        </w:trPr>
        <w:tc>
          <w:tcPr>
            <w:tcW w:type="pct" w:w="25%"/>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Area</w:t>
            </w:r>
          </w:p>
        </w:tc>
        <w:tc>
          <w:tcPr>
            <w:tcW w:type="pct" w:w="75%"/>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Example Metrics</w:t>
            </w:r>
          </w:p>
        </w:tc>
      </w:tr>
      <w:tr>
        <w:trPr>
          <w:cantSplit/>
        </w:trPr>
        <w:tc>
          <w:tcPr>
            <w:tcW w:type="pct" w:w="2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Adoption</w:t>
            </w:r>
          </w:p>
        </w:tc>
        <w:tc>
          <w:tcPr>
            <w:tcW w:type="pct" w:w="7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Approved AI users, active use cases, department adoption rate</w:t>
            </w:r>
          </w:p>
        </w:tc>
      </w:tr>
      <w:tr>
        <w:trPr>
          <w:cantSplit/>
        </w:trPr>
        <w:tc>
          <w:tcPr>
            <w:tcW w:type="pct" w:w="2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Security</w:t>
            </w:r>
          </w:p>
        </w:tc>
        <w:tc>
          <w:tcPr>
            <w:tcW w:type="pct" w:w="7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Unauthorized AI tools blocked, data leakage alerts, security incidents</w:t>
            </w:r>
          </w:p>
        </w:tc>
      </w:tr>
      <w:tr>
        <w:trPr>
          <w:cantSplit/>
        </w:trPr>
        <w:tc>
          <w:tcPr>
            <w:tcW w:type="pct" w:w="2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Risk</w:t>
            </w:r>
          </w:p>
        </w:tc>
        <w:tc>
          <w:tcPr>
            <w:tcW w:type="pct" w:w="7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High-risk use cases, pending assessments, vendor risk scores</w:t>
            </w:r>
          </w:p>
        </w:tc>
      </w:tr>
      <w:tr>
        <w:trPr>
          <w:cantSplit/>
        </w:trPr>
        <w:tc>
          <w:tcPr>
            <w:tcW w:type="pct" w:w="2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Productivity</w:t>
            </w:r>
          </w:p>
        </w:tc>
        <w:tc>
          <w:tcPr>
            <w:tcW w:type="pct" w:w="7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Hours saved, automation rate, AI-assisted workflows</w:t>
            </w:r>
          </w:p>
        </w:tc>
      </w:tr>
      <w:tr>
        <w:trPr>
          <w:cantSplit/>
        </w:trPr>
        <w:tc>
          <w:tcPr>
            <w:tcW w:type="pct" w:w="2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Quality</w:t>
            </w:r>
          </w:p>
        </w:tc>
        <w:tc>
          <w:tcPr>
            <w:tcW w:type="pct" w:w="7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AI error rate, correction rate, customer complaints involving AI</w:t>
            </w:r>
          </w:p>
        </w:tc>
      </w:tr>
      <w:tr>
        <w:trPr>
          <w:cantSplit/>
        </w:trPr>
        <w:tc>
          <w:tcPr>
            <w:tcW w:type="pct" w:w="2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Governance</w:t>
            </w:r>
          </w:p>
        </w:tc>
        <w:tc>
          <w:tcPr>
            <w:tcW w:type="pct" w:w="7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Training completion, policy violations, vendor assessments overdue</w:t>
            </w:r>
          </w:p>
        </w:tc>
      </w:tr>
    </w:tbl>
    <w:p>
      <w:pPr>
        <w:pStyle w:val="Heading1"/>
        <w:spacing w:after="160" w:before="360" w:line="312"/>
      </w:pPr>
      <w:bookmarkStart w:id="100033" w:name="_Toc100033"/>
      <w:r>
        <w:rPr>
          <w:rFonts w:ascii="Calibri"/>
          <w:b/>
          <w:bCs/>
          <w:color w:val="0B1C2C"/>
          <w:sz w:val="32"/>
          <w:szCs w:val="32"/>
        </w:rPr>
        <w:t xml:space="preserve">17. 90-Day AI Governance Implementation Plan</w:t>
      </w:r>
      <w:bookmarkEnd w:id="100033"/>
    </w:p>
    <w:p>
      <w:pPr>
        <w:spacing w:after="100" w:line="312"/>
        <w:ind w:firstLine="480"/>
        <w:jc w:val="both"/>
      </w:pPr>
      <w:r>
        <w:rPr>
          <w:rFonts w:ascii="Times New Roman"/>
          <w:color w:val="1A1A1A"/>
          <w:sz w:val="24"/>
          <w:szCs w:val="24"/>
        </w:rPr>
        <w:t xml:space="preserve">The plan below is a practical starting point for organizations that do not yet have a formal AI governance program. It assumes a small AI Governance Lead with part-time support from security, legal, IT and at least one business department. Larger organizations should compress the timeline; smaller ones may extend it.</w:t>
      </w:r>
    </w:p>
    <w:p>
      <w:pPr>
        <w:pStyle w:val="Heading2"/>
        <w:spacing w:after="120" w:before="240" w:line="312"/>
      </w:pPr>
      <w:bookmarkStart w:id="100034" w:name="_Toc100034"/>
      <w:r>
        <w:rPr>
          <w:rFonts w:ascii="Calibri"/>
          <w:b/>
          <w:bCs/>
          <w:color w:val="0B1C2C"/>
          <w:sz w:val="28"/>
          <w:szCs w:val="28"/>
        </w:rPr>
        <w:t xml:space="preserve">17.1 Days 1–30: Discover</w:t>
      </w:r>
      <w:bookmarkEnd w:id="100034"/>
    </w:p>
    <w:p>
      <w:pPr>
        <w:pStyle w:val="ListParagraph"/>
        <w:numPr>
          <w:ilvl w:val="0"/>
          <w:numId w:val="1"/>
        </w:numPr>
        <w:spacing w:after="60" w:line="312"/>
      </w:pPr>
      <w:r>
        <w:rPr>
          <w:rFonts w:ascii="Times New Roman"/>
          <w:color w:val="1A1A1A"/>
          <w:sz w:val="24"/>
          <w:szCs w:val="24"/>
        </w:rPr>
        <w:t xml:space="preserve">Create the AI Governance Committee and confirm the Executive Sponsor.</w:t>
      </w:r>
    </w:p>
    <w:p>
      <w:pPr>
        <w:pStyle w:val="ListParagraph"/>
        <w:numPr>
          <w:ilvl w:val="0"/>
          <w:numId w:val="1"/>
        </w:numPr>
        <w:spacing w:after="60" w:line="312"/>
      </w:pPr>
      <w:r>
        <w:rPr>
          <w:rFonts w:ascii="Times New Roman"/>
          <w:color w:val="1A1A1A"/>
          <w:sz w:val="24"/>
          <w:szCs w:val="24"/>
        </w:rPr>
        <w:t xml:space="preserve">Draft the AI Acceptable Use Policy based on Section 13.</w:t>
      </w:r>
    </w:p>
    <w:p>
      <w:pPr>
        <w:pStyle w:val="ListParagraph"/>
        <w:numPr>
          <w:ilvl w:val="0"/>
          <w:numId w:val="1"/>
        </w:numPr>
        <w:spacing w:after="60" w:line="312"/>
      </w:pPr>
      <w:r>
        <w:rPr>
          <w:rFonts w:ascii="Times New Roman"/>
          <w:color w:val="1A1A1A"/>
          <w:sz w:val="24"/>
          <w:szCs w:val="24"/>
        </w:rPr>
        <w:t xml:space="preserve">Inventory AI tools and use cases — both approved and shadow AI.</w:t>
      </w:r>
    </w:p>
    <w:p>
      <w:pPr>
        <w:pStyle w:val="ListParagraph"/>
        <w:numPr>
          <w:ilvl w:val="0"/>
          <w:numId w:val="1"/>
        </w:numPr>
        <w:spacing w:after="60" w:line="312"/>
      </w:pPr>
      <w:r>
        <w:rPr>
          <w:rFonts w:ascii="Times New Roman"/>
          <w:color w:val="1A1A1A"/>
          <w:sz w:val="24"/>
          <w:szCs w:val="24"/>
        </w:rPr>
        <w:t xml:space="preserve">Identify data types and risk tiers for each material use case.</w:t>
      </w:r>
    </w:p>
    <w:p>
      <w:pPr>
        <w:pStyle w:val="Heading2"/>
        <w:spacing w:after="120" w:before="240" w:line="312"/>
      </w:pPr>
      <w:bookmarkStart w:id="100035" w:name="_Toc100035"/>
      <w:r>
        <w:rPr>
          <w:rFonts w:ascii="Calibri"/>
          <w:b/>
          <w:bCs/>
          <w:color w:val="0B1C2C"/>
          <w:sz w:val="28"/>
          <w:szCs w:val="28"/>
        </w:rPr>
        <w:t xml:space="preserve">17.2 Days 31–60: Implement</w:t>
      </w:r>
      <w:bookmarkEnd w:id="100035"/>
    </w:p>
    <w:p>
      <w:pPr>
        <w:pStyle w:val="ListParagraph"/>
        <w:numPr>
          <w:ilvl w:val="0"/>
          <w:numId w:val="1"/>
        </w:numPr>
        <w:spacing w:after="60" w:line="312"/>
      </w:pPr>
      <w:r>
        <w:rPr>
          <w:rFonts w:ascii="Times New Roman"/>
          <w:color w:val="1A1A1A"/>
          <w:sz w:val="24"/>
          <w:szCs w:val="24"/>
        </w:rPr>
        <w:t xml:space="preserve">Implement SSO and MFA where supported by approved AI tools.</w:t>
      </w:r>
    </w:p>
    <w:p>
      <w:pPr>
        <w:pStyle w:val="ListParagraph"/>
        <w:numPr>
          <w:ilvl w:val="0"/>
          <w:numId w:val="1"/>
        </w:numPr>
        <w:spacing w:after="60" w:line="312"/>
      </w:pPr>
      <w:r>
        <w:rPr>
          <w:rFonts w:ascii="Times New Roman"/>
          <w:color w:val="1A1A1A"/>
          <w:sz w:val="24"/>
          <w:szCs w:val="24"/>
        </w:rPr>
        <w:t xml:space="preserve">Establish approved AI workspaces with the appropriate data controls.</w:t>
      </w:r>
    </w:p>
    <w:p>
      <w:pPr>
        <w:pStyle w:val="ListParagraph"/>
        <w:numPr>
          <w:ilvl w:val="0"/>
          <w:numId w:val="1"/>
        </w:numPr>
        <w:spacing w:after="60" w:line="312"/>
      </w:pPr>
      <w:r>
        <w:rPr>
          <w:rFonts w:ascii="Times New Roman"/>
          <w:color w:val="1A1A1A"/>
          <w:sz w:val="24"/>
          <w:szCs w:val="24"/>
        </w:rPr>
        <w:t xml:space="preserve">Create the AI Use Case Register and the Vendor Register.</w:t>
      </w:r>
    </w:p>
    <w:p>
      <w:pPr>
        <w:pStyle w:val="ListParagraph"/>
        <w:numPr>
          <w:ilvl w:val="0"/>
          <w:numId w:val="1"/>
        </w:numPr>
        <w:spacing w:after="60" w:line="312"/>
      </w:pPr>
      <w:r>
        <w:rPr>
          <w:rFonts w:ascii="Times New Roman"/>
          <w:color w:val="1A1A1A"/>
          <w:sz w:val="24"/>
          <w:szCs w:val="24"/>
        </w:rPr>
        <w:t xml:space="preserve">Train employees on the policy, data classification and incident reporting.</w:t>
      </w:r>
    </w:p>
    <w:p>
      <w:pPr>
        <w:pStyle w:val="Heading2"/>
        <w:spacing w:after="120" w:before="240" w:line="312"/>
      </w:pPr>
      <w:bookmarkStart w:id="100036" w:name="_Toc100036"/>
      <w:r>
        <w:rPr>
          <w:rFonts w:ascii="Calibri"/>
          <w:b/>
          <w:bCs/>
          <w:color w:val="0B1C2C"/>
          <w:sz w:val="28"/>
          <w:szCs w:val="28"/>
        </w:rPr>
        <w:t xml:space="preserve">17.3 Days 61–90: Monitor</w:t>
      </w:r>
      <w:bookmarkEnd w:id="100036"/>
    </w:p>
    <w:p>
      <w:pPr>
        <w:pStyle w:val="ListParagraph"/>
        <w:numPr>
          <w:ilvl w:val="0"/>
          <w:numId w:val="1"/>
        </w:numPr>
        <w:spacing w:after="60" w:line="312"/>
      </w:pPr>
      <w:r>
        <w:rPr>
          <w:rFonts w:ascii="Times New Roman"/>
          <w:color w:val="1A1A1A"/>
          <w:sz w:val="24"/>
          <w:szCs w:val="24"/>
        </w:rPr>
        <w:t xml:space="preserve">Launch the governance dashboard described in Section 16.</w:t>
      </w:r>
    </w:p>
    <w:p>
      <w:pPr>
        <w:pStyle w:val="ListParagraph"/>
        <w:numPr>
          <w:ilvl w:val="0"/>
          <w:numId w:val="1"/>
        </w:numPr>
        <w:spacing w:after="60" w:line="312"/>
      </w:pPr>
      <w:r>
        <w:rPr>
          <w:rFonts w:ascii="Times New Roman"/>
          <w:color w:val="1A1A1A"/>
          <w:sz w:val="24"/>
          <w:szCs w:val="24"/>
        </w:rPr>
        <w:t xml:space="preserve">Implement the incident response process and run at least one tabletop exercise.</w:t>
      </w:r>
    </w:p>
    <w:p>
      <w:pPr>
        <w:pStyle w:val="ListParagraph"/>
        <w:numPr>
          <w:ilvl w:val="0"/>
          <w:numId w:val="1"/>
        </w:numPr>
        <w:spacing w:after="60" w:line="312"/>
      </w:pPr>
      <w:r>
        <w:rPr>
          <w:rFonts w:ascii="Times New Roman"/>
          <w:color w:val="1A1A1A"/>
          <w:sz w:val="24"/>
          <w:szCs w:val="24"/>
        </w:rPr>
        <w:t xml:space="preserve">Review all high-risk use cases and confirm controls are in place.</w:t>
      </w:r>
    </w:p>
    <w:p>
      <w:pPr>
        <w:pStyle w:val="ListParagraph"/>
        <w:numPr>
          <w:ilvl w:val="0"/>
          <w:numId w:val="1"/>
        </w:numPr>
        <w:spacing w:after="60" w:line="312"/>
      </w:pPr>
      <w:r>
        <w:rPr>
          <w:rFonts w:ascii="Times New Roman"/>
          <w:color w:val="1A1A1A"/>
          <w:sz w:val="24"/>
          <w:szCs w:val="24"/>
        </w:rPr>
        <w:t xml:space="preserve">Measure adoption, productivity, quality and risk, and report to the Committee.</w:t>
      </w:r>
    </w:p>
    <w:p>
      <w:pPr>
        <w:pStyle w:val="ListParagraph"/>
        <w:numPr>
          <w:ilvl w:val="0"/>
          <w:numId w:val="1"/>
        </w:numPr>
        <w:spacing w:after="60" w:line="312"/>
      </w:pPr>
      <w:r>
        <w:rPr>
          <w:rFonts w:ascii="Times New Roman"/>
          <w:color w:val="1A1A1A"/>
          <w:sz w:val="24"/>
          <w:szCs w:val="24"/>
        </w:rPr>
        <w:t xml:space="preserve">Schedule periodic vendor and policy reviews (quarterly for high-risk, annually for others).</w:t>
      </w:r>
    </w:p>
    <w:p>
      <w:pPr>
        <w:pStyle w:val="Heading1"/>
        <w:spacing w:after="160" w:before="360" w:line="312"/>
      </w:pPr>
      <w:bookmarkStart w:id="100037" w:name="_Toc100037"/>
      <w:r>
        <w:rPr>
          <w:rFonts w:ascii="Calibri"/>
          <w:b/>
          <w:bCs/>
          <w:color w:val="0B1C2C"/>
          <w:sz w:val="32"/>
          <w:szCs w:val="32"/>
        </w:rPr>
        <w:t xml:space="preserve">18. Employee Training Program</w:t>
      </w:r>
      <w:bookmarkEnd w:id="100037"/>
    </w:p>
    <w:p>
      <w:pPr>
        <w:spacing w:after="100" w:line="312"/>
        <w:ind w:firstLine="480"/>
        <w:jc w:val="both"/>
      </w:pPr>
      <w:r>
        <w:rPr>
          <w:rFonts w:ascii="Times New Roman"/>
          <w:color w:val="1A1A1A"/>
          <w:sz w:val="24"/>
          <w:szCs w:val="24"/>
        </w:rPr>
        <w:t xml:space="preserve">All employees with access to AI tools should complete a baseline training program within thirty days of being granted access, with annual refresher training thereafter. The recommended modules are:</w:t>
      </w:r>
    </w:p>
    <w:p>
      <w:pPr>
        <w:pStyle w:val="ListParagraph"/>
        <w:numPr>
          <w:ilvl w:val="0"/>
          <w:numId w:val="4"/>
        </w:numPr>
        <w:spacing w:after="60" w:line="312"/>
      </w:pPr>
      <w:r>
        <w:rPr>
          <w:rFonts w:ascii="Times New Roman"/>
          <w:color w:val="1A1A1A"/>
          <w:sz w:val="24"/>
          <w:szCs w:val="24"/>
        </w:rPr>
        <w:t xml:space="preserve">Introduction to Generative AI — what it is, what it can and cannot do, and the organization's stance.</w:t>
      </w:r>
    </w:p>
    <w:p>
      <w:pPr>
        <w:pStyle w:val="ListParagraph"/>
        <w:numPr>
          <w:ilvl w:val="0"/>
          <w:numId w:val="4"/>
        </w:numPr>
        <w:spacing w:after="60" w:line="312"/>
      </w:pPr>
      <w:r>
        <w:rPr>
          <w:rFonts w:ascii="Times New Roman"/>
          <w:color w:val="1A1A1A"/>
          <w:sz w:val="24"/>
          <w:szCs w:val="24"/>
        </w:rPr>
        <w:t xml:space="preserve">AI Security — the principal threats (prompt injection, data leakage, account compromise, hallucinations).</w:t>
      </w:r>
    </w:p>
    <w:p>
      <w:pPr>
        <w:pStyle w:val="ListParagraph"/>
        <w:numPr>
          <w:ilvl w:val="0"/>
          <w:numId w:val="4"/>
        </w:numPr>
        <w:spacing w:after="60" w:line="312"/>
      </w:pPr>
      <w:r>
        <w:rPr>
          <w:rFonts w:ascii="Times New Roman"/>
          <w:color w:val="1A1A1A"/>
          <w:sz w:val="24"/>
          <w:szCs w:val="24"/>
        </w:rPr>
        <w:t xml:space="preserve">Data Privacy — what data may and may not be processed by AI, and how to classify information.</w:t>
      </w:r>
    </w:p>
    <w:p>
      <w:pPr>
        <w:pStyle w:val="ListParagraph"/>
        <w:numPr>
          <w:ilvl w:val="0"/>
          <w:numId w:val="4"/>
        </w:numPr>
        <w:spacing w:after="60" w:line="312"/>
      </w:pPr>
      <w:r>
        <w:rPr>
          <w:rFonts w:ascii="Times New Roman"/>
          <w:color w:val="1A1A1A"/>
          <w:sz w:val="24"/>
          <w:szCs w:val="24"/>
        </w:rPr>
        <w:t xml:space="preserve">Prompt Security — how to write effective prompts without exposing sensitive information.</w:t>
      </w:r>
    </w:p>
    <w:p>
      <w:pPr>
        <w:pStyle w:val="ListParagraph"/>
        <w:numPr>
          <w:ilvl w:val="0"/>
          <w:numId w:val="4"/>
        </w:numPr>
        <w:spacing w:after="60" w:line="312"/>
      </w:pPr>
      <w:r>
        <w:rPr>
          <w:rFonts w:ascii="Times New Roman"/>
          <w:color w:val="1A1A1A"/>
          <w:sz w:val="24"/>
          <w:szCs w:val="24"/>
        </w:rPr>
        <w:t xml:space="preserve">Hallucinations and Verification — how to verify AI outputs and document the verification.</w:t>
      </w:r>
    </w:p>
    <w:p>
      <w:pPr>
        <w:pStyle w:val="ListParagraph"/>
        <w:numPr>
          <w:ilvl w:val="0"/>
          <w:numId w:val="4"/>
        </w:numPr>
        <w:spacing w:after="60" w:line="312"/>
      </w:pPr>
      <w:r>
        <w:rPr>
          <w:rFonts w:ascii="Times New Roman"/>
          <w:color w:val="1A1A1A"/>
          <w:sz w:val="24"/>
          <w:szCs w:val="24"/>
        </w:rPr>
        <w:t xml:space="preserve">Approved vs Unauthorized AI Tools — how to recognize and avoid shadow AI.</w:t>
      </w:r>
    </w:p>
    <w:p>
      <w:pPr>
        <w:pStyle w:val="ListParagraph"/>
        <w:numPr>
          <w:ilvl w:val="0"/>
          <w:numId w:val="4"/>
        </w:numPr>
        <w:spacing w:after="60" w:line="312"/>
      </w:pPr>
      <w:r>
        <w:rPr>
          <w:rFonts w:ascii="Times New Roman"/>
          <w:color w:val="1A1A1A"/>
          <w:sz w:val="24"/>
          <w:szCs w:val="24"/>
        </w:rPr>
        <w:t xml:space="preserve">Responsible AI — fairness, bias, human oversight and the rights of affected individuals.</w:t>
      </w:r>
    </w:p>
    <w:p>
      <w:pPr>
        <w:pStyle w:val="ListParagraph"/>
        <w:numPr>
          <w:ilvl w:val="0"/>
          <w:numId w:val="4"/>
        </w:numPr>
        <w:spacing w:after="60" w:line="312"/>
      </w:pPr>
      <w:r>
        <w:rPr>
          <w:rFonts w:ascii="Times New Roman"/>
          <w:color w:val="1A1A1A"/>
          <w:sz w:val="24"/>
          <w:szCs w:val="24"/>
        </w:rPr>
        <w:t xml:space="preserve">AI Incident Reporting — what to report, how and to whom.</w:t>
      </w:r>
    </w:p>
    <w:p>
      <w:pPr>
        <w:pStyle w:val="Heading1"/>
        <w:spacing w:after="160" w:before="360" w:line="312"/>
      </w:pPr>
      <w:bookmarkStart w:id="100038" w:name="_Toc100038"/>
      <w:r>
        <w:rPr>
          <w:rFonts w:ascii="Calibri"/>
          <w:b/>
          <w:bCs/>
          <w:color w:val="0B1C2C"/>
          <w:sz w:val="32"/>
          <w:szCs w:val="32"/>
        </w:rPr>
        <w:t xml:space="preserve">19. Practical Training Exercises</w:t>
      </w:r>
      <w:bookmarkEnd w:id="100038"/>
    </w:p>
    <w:p>
      <w:pPr>
        <w:spacing w:after="100" w:line="312"/>
        <w:ind w:firstLine="480"/>
        <w:jc w:val="both"/>
      </w:pPr>
      <w:r>
        <w:rPr>
          <w:rFonts w:ascii="Times New Roman"/>
          <w:color w:val="1A1A1A"/>
          <w:sz w:val="24"/>
          <w:szCs w:val="24"/>
        </w:rPr>
        <w:t xml:space="preserve">Practical exercises reinforce the training modules and give employees a safe environment to apply the policy. The two exercises below are the recommended minimum; organizations should add their own based on the most common use cases in their environment.</w:t>
      </w:r>
    </w:p>
    <w:p>
      <w:pPr>
        <w:pStyle w:val="Heading2"/>
        <w:spacing w:after="120" w:before="240" w:line="312"/>
      </w:pPr>
      <w:bookmarkStart w:id="100039" w:name="_Toc100039"/>
      <w:r>
        <w:rPr>
          <w:rFonts w:ascii="Calibri"/>
          <w:b/>
          <w:bCs/>
          <w:color w:val="0B1C2C"/>
          <w:sz w:val="28"/>
          <w:szCs w:val="28"/>
        </w:rPr>
        <w:t xml:space="preserve">19.1 Exercise 1: Customer Dataset</w:t>
      </w:r>
      <w:bookmarkEnd w:id="100039"/>
    </w:p>
    <w:p>
      <w:pPr>
        <w:spacing w:after="100" w:line="312"/>
        <w:ind w:firstLine="480"/>
        <w:jc w:val="both"/>
      </w:pPr>
      <w:r>
        <w:rPr>
          <w:rFonts w:ascii="Times New Roman"/>
          <w:color w:val="1A1A1A"/>
          <w:sz w:val="24"/>
          <w:szCs w:val="24"/>
        </w:rPr>
        <w:t xml:space="preserve">Scenario: An employee has a customer Excel file containing 5,000 customer records and wants AI to identify segments.</w:t>
      </w:r>
    </w:p>
    <w:p>
      <w:pPr>
        <w:spacing w:after="100" w:line="312"/>
        <w:ind w:firstLine="480"/>
        <w:jc w:val="both"/>
      </w:pPr>
      <w:r>
        <w:rPr>
          <w:rFonts w:ascii="Times New Roman"/>
          <w:color w:val="1A1A1A"/>
          <w:sz w:val="24"/>
          <w:szCs w:val="24"/>
        </w:rPr>
        <w:t xml:space="preserve">Expected governance workflow:</w:t>
      </w:r>
    </w:p>
    <w:p>
      <w:pPr>
        <w:pStyle w:val="ListParagraph"/>
        <w:numPr>
          <w:ilvl w:val="0"/>
          <w:numId w:val="5"/>
        </w:numPr>
        <w:spacing w:after="60" w:line="312"/>
      </w:pPr>
      <w:r>
        <w:rPr>
          <w:rFonts w:ascii="Times New Roman"/>
          <w:color w:val="1A1A1A"/>
          <w:sz w:val="24"/>
          <w:szCs w:val="24"/>
        </w:rPr>
        <w:t xml:space="preserve">Check the data classification — customer records are typically Confidential.</w:t>
      </w:r>
    </w:p>
    <w:p>
      <w:pPr>
        <w:pStyle w:val="ListParagraph"/>
        <w:numPr>
          <w:ilvl w:val="0"/>
          <w:numId w:val="5"/>
        </w:numPr>
        <w:spacing w:after="60" w:line="312"/>
      </w:pPr>
      <w:r>
        <w:rPr>
          <w:rFonts w:ascii="Times New Roman"/>
          <w:color w:val="1A1A1A"/>
          <w:sz w:val="24"/>
          <w:szCs w:val="24"/>
        </w:rPr>
        <w:t xml:space="preserve">Check whether the AI environment is approved for Confidential data.</w:t>
      </w:r>
    </w:p>
    <w:p>
      <w:pPr>
        <w:pStyle w:val="ListParagraph"/>
        <w:numPr>
          <w:ilvl w:val="0"/>
          <w:numId w:val="5"/>
        </w:numPr>
        <w:spacing w:after="60" w:line="312"/>
      </w:pPr>
      <w:r>
        <w:rPr>
          <w:rFonts w:ascii="Times New Roman"/>
          <w:color w:val="1A1A1A"/>
          <w:sz w:val="24"/>
          <w:szCs w:val="24"/>
        </w:rPr>
        <w:t xml:space="preserve">Review privacy and security controls with the Data Protection lead if uncertain.</w:t>
      </w:r>
    </w:p>
    <w:p>
      <w:pPr>
        <w:pStyle w:val="ListParagraph"/>
        <w:numPr>
          <w:ilvl w:val="0"/>
          <w:numId w:val="5"/>
        </w:numPr>
        <w:spacing w:after="60" w:line="312"/>
      </w:pPr>
      <w:r>
        <w:rPr>
          <w:rFonts w:ascii="Times New Roman"/>
          <w:color w:val="1A1A1A"/>
          <w:sz w:val="24"/>
          <w:szCs w:val="24"/>
        </w:rPr>
        <w:t xml:space="preserve">Minimize or anonymize the data where practical (e.g., remove direct identifiers).</w:t>
      </w:r>
    </w:p>
    <w:p>
      <w:pPr>
        <w:pStyle w:val="ListParagraph"/>
        <w:numPr>
          <w:ilvl w:val="0"/>
          <w:numId w:val="5"/>
        </w:numPr>
        <w:spacing w:after="60" w:line="312"/>
      </w:pPr>
      <w:r>
        <w:rPr>
          <w:rFonts w:ascii="Times New Roman"/>
          <w:color w:val="1A1A1A"/>
          <w:sz w:val="24"/>
          <w:szCs w:val="24"/>
        </w:rPr>
        <w:t xml:space="preserve">Use the approved environment and avoid copying the dataset to local tools.</w:t>
      </w:r>
    </w:p>
    <w:p>
      <w:pPr>
        <w:pStyle w:val="ListParagraph"/>
        <w:numPr>
          <w:ilvl w:val="0"/>
          <w:numId w:val="5"/>
        </w:numPr>
        <w:spacing w:after="60" w:line="312"/>
      </w:pPr>
      <w:r>
        <w:rPr>
          <w:rFonts w:ascii="Times New Roman"/>
          <w:color w:val="1A1A1A"/>
          <w:sz w:val="24"/>
          <w:szCs w:val="24"/>
        </w:rPr>
        <w:t xml:space="preserve">Validate the output and document the use case in the AI Use Case Register.</w:t>
      </w:r>
    </w:p>
    <w:p>
      <w:pPr>
        <w:pStyle w:val="Heading2"/>
        <w:spacing w:after="120" w:before="240" w:line="312"/>
      </w:pPr>
      <w:bookmarkStart w:id="100040" w:name="_Toc100040"/>
      <w:r>
        <w:rPr>
          <w:rFonts w:ascii="Calibri"/>
          <w:b/>
          <w:bCs/>
          <w:color w:val="0B1C2C"/>
          <w:sz w:val="28"/>
          <w:szCs w:val="28"/>
        </w:rPr>
        <w:t xml:space="preserve">19.2 Exercise 2: AI Vendor Assessment</w:t>
      </w:r>
      <w:bookmarkEnd w:id="100040"/>
    </w:p>
    <w:p>
      <w:pPr>
        <w:spacing w:after="100" w:line="312"/>
        <w:ind w:firstLine="480"/>
        <w:jc w:val="both"/>
      </w:pPr>
      <w:r>
        <w:rPr>
          <w:rFonts w:ascii="Times New Roman"/>
          <w:color w:val="1A1A1A"/>
          <w:sz w:val="24"/>
          <w:szCs w:val="24"/>
        </w:rPr>
        <w:t xml:space="preserve">Participants review a sample vendor security questionnaire and decide whether to approve the tool.</w:t>
      </w:r>
    </w:p>
    <w:p>
      <w:pPr>
        <w:keepNext/>
        <w:spacing w:after="80" w:before="200"/>
      </w:pPr>
      <w:r>
        <w:rPr>
          <w:rFonts w:ascii="Calibri"/>
          <w:b/>
          <w:bCs/>
          <w:color w:val="0B1C2C"/>
          <w:sz w:val="22"/>
          <w:szCs w:val="22"/>
        </w:rPr>
        <w:t xml:space="preserve">Table 7. Sample AI Vendor Assessment Worksheet</w:t>
      </w:r>
    </w:p>
    <w:tbl>
      <w:tblPr>
        <w:tblW w:type="pct" w:w="100%"/>
        <w:tblBorders>
          <w:top w:val="single" w:color="529286" w:sz="6"/>
          <w:left w:val="none"/>
          <w:bottom w:val="single" w:color="529286" w:sz="6"/>
          <w:right w:val="none"/>
          <w:insideH w:val="single" w:color="BECFCC" w:sz="1"/>
          <w:insideV w:val="none"/>
        </w:tblBorders>
        <w:tblLayout w:type="fixed"/>
      </w:tblPr>
      <w:tblGrid>
        <w:gridCol w:w="100"/>
        <w:gridCol w:w="100"/>
      </w:tblGrid>
      <w:tr>
        <w:trPr>
          <w:cantSplit/>
          <w:tblHeader/>
        </w:trPr>
        <w:tc>
          <w:tcPr>
            <w:tcW w:type="pct" w:w="50%"/>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Control</w:t>
            </w:r>
          </w:p>
        </w:tc>
        <w:tc>
          <w:tcPr>
            <w:tcW w:type="pct" w:w="50%"/>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Assessment</w:t>
            </w:r>
          </w:p>
        </w:tc>
      </w:tr>
      <w:tr>
        <w:trPr>
          <w:cantSplit/>
        </w:trPr>
        <w:tc>
          <w:tcPr>
            <w:tcW w:type="pct" w:w="50%"/>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SSO</w:t>
            </w:r>
          </w:p>
        </w:tc>
        <w:tc>
          <w:tcPr>
            <w:tcW w:type="pct" w:w="50%"/>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Yes</w:t>
            </w:r>
          </w:p>
        </w:tc>
      </w:tr>
      <w:tr>
        <w:trPr>
          <w:cantSplit/>
        </w:trPr>
        <w:tc>
          <w:tcPr>
            <w:tcW w:type="pct" w:w="50%"/>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MFA</w:t>
            </w:r>
          </w:p>
        </w:tc>
        <w:tc>
          <w:tcPr>
            <w:tcW w:type="pct" w:w="50%"/>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Yes</w:t>
            </w:r>
          </w:p>
        </w:tc>
      </w:tr>
      <w:tr>
        <w:trPr>
          <w:cantSplit/>
        </w:trPr>
        <w:tc>
          <w:tcPr>
            <w:tcW w:type="pct" w:w="50%"/>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Encryption in transit and at rest</w:t>
            </w:r>
          </w:p>
        </w:tc>
        <w:tc>
          <w:tcPr>
            <w:tcW w:type="pct" w:w="50%"/>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Yes</w:t>
            </w:r>
          </w:p>
        </w:tc>
      </w:tr>
      <w:tr>
        <w:trPr>
          <w:cantSplit/>
        </w:trPr>
        <w:tc>
          <w:tcPr>
            <w:tcW w:type="pct" w:w="50%"/>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Audit logs</w:t>
            </w:r>
          </w:p>
        </w:tc>
        <w:tc>
          <w:tcPr>
            <w:tcW w:type="pct" w:w="50%"/>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Yes</w:t>
            </w:r>
          </w:p>
        </w:tc>
      </w:tr>
      <w:tr>
        <w:trPr>
          <w:cantSplit/>
        </w:trPr>
        <w:tc>
          <w:tcPr>
            <w:tcW w:type="pct" w:w="50%"/>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Data training policy</w:t>
            </w:r>
          </w:p>
        </w:tc>
        <w:tc>
          <w:tcPr>
            <w:tcW w:type="pct" w:w="50%"/>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Unclear</w:t>
            </w:r>
          </w:p>
        </w:tc>
      </w:tr>
      <w:tr>
        <w:trPr>
          <w:cantSplit/>
        </w:trPr>
        <w:tc>
          <w:tcPr>
            <w:tcW w:type="pct" w:w="50%"/>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Data retention</w:t>
            </w:r>
          </w:p>
        </w:tc>
        <w:tc>
          <w:tcPr>
            <w:tcW w:type="pct" w:w="50%"/>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Unclear</w:t>
            </w:r>
          </w:p>
        </w:tc>
      </w:tr>
      <w:tr>
        <w:trPr>
          <w:cantSplit/>
        </w:trPr>
        <w:tc>
          <w:tcPr>
            <w:tcW w:type="pct" w:w="50%"/>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SOC 2</w:t>
            </w:r>
          </w:p>
        </w:tc>
        <w:tc>
          <w:tcPr>
            <w:tcW w:type="pct" w:w="50%"/>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Yes</w:t>
            </w:r>
          </w:p>
        </w:tc>
      </w:tr>
      <w:tr>
        <w:trPr>
          <w:cantSplit/>
        </w:trPr>
        <w:tc>
          <w:tcPr>
            <w:tcW w:type="pct" w:w="50%"/>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DPA</w:t>
            </w:r>
          </w:p>
        </w:tc>
        <w:tc>
          <w:tcPr>
            <w:tcW w:type="pct" w:w="50%"/>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Available</w:t>
            </w:r>
          </w:p>
        </w:tc>
      </w:tr>
    </w:tbl>
    <w:p>
      <w:pPr>
        <w:spacing w:after="100" w:line="312"/>
        <w:ind w:firstLine="480"/>
        <w:jc w:val="both"/>
      </w:pPr>
      <w:r>
        <w:rPr>
          <w:rFonts w:ascii="Times New Roman"/>
          <w:color w:val="1A1A1A"/>
          <w:sz w:val="24"/>
          <w:szCs w:val="24"/>
        </w:rPr>
        <w:t xml:space="preserve">Discussion question: Should the company automatically approve this tool?</w:t>
      </w:r>
    </w:p>
    <w:p>
      <w:pPr>
        <w:spacing w:after="100" w:line="312"/>
        <w:ind w:firstLine="480"/>
        <w:jc w:val="both"/>
      </w:pPr>
      <w:r>
        <w:rPr>
          <w:rFonts w:ascii="Times New Roman"/>
          <w:color w:val="1A1A1A"/>
          <w:sz w:val="24"/>
          <w:szCs w:val="24"/>
        </w:rPr>
        <w:t xml:space="preserve">Expected answer: No. Unresolved data-use and retention questions should be investigated before approval. The vendor should be asked to confirm in writing whether customer data is used for model training, what the retention period is, and what controls are available to opt out.</w:t>
      </w:r>
    </w:p>
    <w:p>
      <w:pPr>
        <w:pStyle w:val="Heading1"/>
        <w:spacing w:after="160" w:before="360" w:line="312"/>
      </w:pPr>
      <w:bookmarkStart w:id="100041" w:name="_Toc100041"/>
      <w:r>
        <w:rPr>
          <w:rFonts w:ascii="Calibri"/>
          <w:b/>
          <w:bCs/>
          <w:color w:val="0B1C2C"/>
          <w:sz w:val="32"/>
          <w:szCs w:val="32"/>
        </w:rPr>
        <w:t xml:space="preserve">20. AI Governance Maturity Model</w:t>
      </w:r>
      <w:bookmarkEnd w:id="100041"/>
    </w:p>
    <w:p>
      <w:pPr>
        <w:spacing w:after="100" w:line="312"/>
        <w:ind w:firstLine="480"/>
        <w:jc w:val="both"/>
      </w:pPr>
      <w:r>
        <w:rPr>
          <w:rFonts w:ascii="Times New Roman"/>
          <w:color w:val="1A1A1A"/>
          <w:sz w:val="24"/>
          <w:szCs w:val="24"/>
        </w:rPr>
        <w:t xml:space="preserve">The maturity model below helps organizations locate themselves and identify the next stage of development. Most organizations will be at Level 2 or Level 3 at the end of their first ninety-day program.</w:t>
      </w:r>
    </w:p>
    <w:p>
      <w:pPr>
        <w:keepNext/>
        <w:spacing w:after="80" w:before="200"/>
      </w:pPr>
      <w:r>
        <w:rPr>
          <w:rFonts w:ascii="Calibri"/>
          <w:b/>
          <w:bCs/>
          <w:color w:val="0B1C2C"/>
          <w:sz w:val="22"/>
          <w:szCs w:val="22"/>
        </w:rPr>
        <w:t xml:space="preserve">Table 8. AI Governance Maturity Model</w:t>
      </w:r>
    </w:p>
    <w:tbl>
      <w:tblPr>
        <w:tblW w:type="pct" w:w="100%"/>
        <w:tblBorders>
          <w:top w:val="single" w:color="529286" w:sz="6"/>
          <w:left w:val="none"/>
          <w:bottom w:val="single" w:color="529286" w:sz="6"/>
          <w:right w:val="none"/>
          <w:insideH w:val="single" w:color="BECFCC" w:sz="1"/>
          <w:insideV w:val="none"/>
        </w:tblBorders>
        <w:tblLayout w:type="fixed"/>
      </w:tblPr>
      <w:tblGrid>
        <w:gridCol w:w="100"/>
        <w:gridCol w:w="100"/>
      </w:tblGrid>
      <w:tr>
        <w:trPr>
          <w:cantSplit/>
          <w:tblHeader/>
        </w:trPr>
        <w:tc>
          <w:tcPr>
            <w:tcW w:type="pct" w:w="25%"/>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Level</w:t>
            </w:r>
          </w:p>
        </w:tc>
        <w:tc>
          <w:tcPr>
            <w:tcW w:type="pct" w:w="75%"/>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Description</w:t>
            </w:r>
          </w:p>
        </w:tc>
      </w:tr>
      <w:tr>
        <w:trPr>
          <w:cantSplit/>
        </w:trPr>
        <w:tc>
          <w:tcPr>
            <w:tcW w:type="pct" w:w="2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1 — Unmanaged</w:t>
            </w:r>
          </w:p>
        </w:tc>
        <w:tc>
          <w:tcPr>
            <w:tcW w:type="pct" w:w="7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AI use is largely uncontrolled; no inventory or consistent policy</w:t>
            </w:r>
          </w:p>
        </w:tc>
      </w:tr>
      <w:tr>
        <w:trPr>
          <w:cantSplit/>
        </w:trPr>
        <w:tc>
          <w:tcPr>
            <w:tcW w:type="pct" w:w="2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2 — Aware</w:t>
            </w:r>
          </w:p>
        </w:tc>
        <w:tc>
          <w:tcPr>
            <w:tcW w:type="pct" w:w="7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Management recognizes AI risks and begins basic policy and training</w:t>
            </w:r>
          </w:p>
        </w:tc>
      </w:tr>
      <w:tr>
        <w:trPr>
          <w:cantSplit/>
        </w:trPr>
        <w:tc>
          <w:tcPr>
            <w:tcW w:type="pct" w:w="2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3 — Controlled</w:t>
            </w:r>
          </w:p>
        </w:tc>
        <w:tc>
          <w:tcPr>
            <w:tcW w:type="pct" w:w="7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Inventory, risk assessment, approved tools, access controls and training in place</w:t>
            </w:r>
          </w:p>
        </w:tc>
      </w:tr>
      <w:tr>
        <w:trPr>
          <w:cantSplit/>
        </w:trPr>
        <w:tc>
          <w:tcPr>
            <w:tcW w:type="pct" w:w="2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4 — Managed</w:t>
            </w:r>
          </w:p>
        </w:tc>
        <w:tc>
          <w:tcPr>
            <w:tcW w:type="pct" w:w="7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Continuous monitoring, dashboards, vendor governance and automated controls</w:t>
            </w:r>
          </w:p>
        </w:tc>
      </w:tr>
      <w:tr>
        <w:trPr>
          <w:cantSplit/>
        </w:trPr>
        <w:tc>
          <w:tcPr>
            <w:tcW w:type="pct" w:w="2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5 — Optimized</w:t>
            </w:r>
          </w:p>
        </w:tc>
        <w:tc>
          <w:tcPr>
            <w:tcW w:type="pct" w:w="7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Integrated AI strategy, continuous risk management, measured ROI and improvement</w:t>
            </w:r>
          </w:p>
        </w:tc>
      </w:tr>
    </w:tbl>
    <w:p>
      <w:pPr>
        <w:pStyle w:val="Heading1"/>
        <w:spacing w:after="160" w:before="360" w:line="312"/>
      </w:pPr>
      <w:bookmarkStart w:id="100042" w:name="_Toc100042"/>
      <w:r>
        <w:rPr>
          <w:rFonts w:ascii="Calibri"/>
          <w:b/>
          <w:bCs/>
          <w:color w:val="0B1C2C"/>
          <w:sz w:val="32"/>
          <w:szCs w:val="32"/>
        </w:rPr>
        <w:t xml:space="preserve">21. AI Governance KPIs</w:t>
      </w:r>
      <w:bookmarkEnd w:id="100042"/>
    </w:p>
    <w:p>
      <w:pPr>
        <w:spacing w:after="100" w:line="312"/>
        <w:ind w:firstLine="480"/>
        <w:jc w:val="both"/>
      </w:pPr>
      <w:r>
        <w:rPr>
          <w:rFonts w:ascii="Times New Roman"/>
          <w:color w:val="1A1A1A"/>
          <w:sz w:val="24"/>
          <w:szCs w:val="24"/>
        </w:rPr>
        <w:t xml:space="preserve">KPIs translate the maturity model into measurable targets. The targets below are starting points; each organization should calibrate them to its size, industry, risk profile and regulatory obligations.</w:t>
      </w:r>
    </w:p>
    <w:p>
      <w:pPr>
        <w:keepNext/>
        <w:spacing w:after="80" w:before="200"/>
      </w:pPr>
      <w:r>
        <w:rPr>
          <w:rFonts w:ascii="Calibri"/>
          <w:b/>
          <w:bCs/>
          <w:color w:val="0B1C2C"/>
          <w:sz w:val="22"/>
          <w:szCs w:val="22"/>
        </w:rPr>
        <w:t xml:space="preserve">Table 9. AI Governance KPIs and Example Targets</w:t>
      </w:r>
    </w:p>
    <w:tbl>
      <w:tblPr>
        <w:tblW w:type="pct" w:w="100%"/>
        <w:tblBorders>
          <w:top w:val="single" w:color="529286" w:sz="6"/>
          <w:left w:val="none"/>
          <w:bottom w:val="single" w:color="529286" w:sz="6"/>
          <w:right w:val="none"/>
          <w:insideH w:val="single" w:color="BECFCC" w:sz="1"/>
          <w:insideV w:val="none"/>
        </w:tblBorders>
        <w:tblLayout w:type="fixed"/>
      </w:tblPr>
      <w:tblGrid>
        <w:gridCol w:w="100"/>
        <w:gridCol w:w="100"/>
      </w:tblGrid>
      <w:tr>
        <w:trPr>
          <w:cantSplit/>
          <w:tblHeader/>
        </w:trPr>
        <w:tc>
          <w:tcPr>
            <w:tcW w:type="pct" w:w="55%"/>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KPI</w:t>
            </w:r>
          </w:p>
        </w:tc>
        <w:tc>
          <w:tcPr>
            <w:tcW w:type="pct" w:w="45%"/>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Example Target</w:t>
            </w:r>
          </w:p>
        </w:tc>
      </w:tr>
      <w:tr>
        <w:trPr>
          <w:cantSplit/>
        </w:trPr>
        <w:tc>
          <w:tcPr>
            <w:tcW w:type="pct" w:w="5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Approved AI usage</w:t>
            </w:r>
          </w:p>
        </w:tc>
        <w:tc>
          <w:tcPr>
            <w:tcW w:type="pct" w:w="4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&gt; 95% of AI activity on approved tools</w:t>
            </w:r>
          </w:p>
        </w:tc>
      </w:tr>
      <w:tr>
        <w:trPr>
          <w:cantSplit/>
        </w:trPr>
        <w:tc>
          <w:tcPr>
            <w:tcW w:type="pct" w:w="5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Employee training completion</w:t>
            </w:r>
          </w:p>
        </w:tc>
        <w:tc>
          <w:tcPr>
            <w:tcW w:type="pct" w:w="4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100% within 30 days of access</w:t>
            </w:r>
          </w:p>
        </w:tc>
      </w:tr>
      <w:tr>
        <w:trPr>
          <w:cantSplit/>
        </w:trPr>
        <w:tc>
          <w:tcPr>
            <w:tcW w:type="pct" w:w="5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AI use cases assessed</w:t>
            </w:r>
          </w:p>
        </w:tc>
        <w:tc>
          <w:tcPr>
            <w:tcW w:type="pct" w:w="4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100% of material use cases</w:t>
            </w:r>
          </w:p>
        </w:tc>
      </w:tr>
      <w:tr>
        <w:trPr>
          <w:cantSplit/>
        </w:trPr>
        <w:tc>
          <w:tcPr>
            <w:tcW w:type="pct" w:w="5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High-risk use cases reviewed</w:t>
            </w:r>
          </w:p>
        </w:tc>
        <w:tc>
          <w:tcPr>
            <w:tcW w:type="pct" w:w="4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100% before deployment</w:t>
            </w:r>
          </w:p>
        </w:tc>
      </w:tr>
      <w:tr>
        <w:trPr>
          <w:cantSplit/>
        </w:trPr>
        <w:tc>
          <w:tcPr>
            <w:tcW w:type="pct" w:w="5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Critical incidents</w:t>
            </w:r>
          </w:p>
        </w:tc>
        <w:tc>
          <w:tcPr>
            <w:tcW w:type="pct" w:w="4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0 per quarter</w:t>
            </w:r>
          </w:p>
        </w:tc>
      </w:tr>
      <w:tr>
        <w:trPr>
          <w:cantSplit/>
        </w:trPr>
        <w:tc>
          <w:tcPr>
            <w:tcW w:type="pct" w:w="5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Vendor assessments</w:t>
            </w:r>
          </w:p>
        </w:tc>
        <w:tc>
          <w:tcPr>
            <w:tcW w:type="pct" w:w="4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100% before contract renewal</w:t>
            </w:r>
          </w:p>
        </w:tc>
      </w:tr>
      <w:tr>
        <w:trPr>
          <w:cantSplit/>
        </w:trPr>
        <w:tc>
          <w:tcPr>
            <w:tcW w:type="pct" w:w="5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Human review for high-impact decisions</w:t>
            </w:r>
          </w:p>
        </w:tc>
        <w:tc>
          <w:tcPr>
            <w:tcW w:type="pct" w:w="4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100% of in-scope decisions</w:t>
            </w:r>
          </w:p>
        </w:tc>
      </w:tr>
    </w:tbl>
    <w:p>
      <w:pPr>
        <w:pStyle w:val="Heading1"/>
        <w:spacing w:after="160" w:before="360" w:line="312"/>
      </w:pPr>
      <w:bookmarkStart w:id="100043" w:name="_Toc100043"/>
      <w:r>
        <w:rPr>
          <w:rFonts w:ascii="Calibri"/>
          <w:b/>
          <w:bCs/>
          <w:color w:val="0B1C2C"/>
          <w:sz w:val="32"/>
          <w:szCs w:val="32"/>
        </w:rPr>
        <w:t xml:space="preserve">22. Standards &amp; Frameworks</w:t>
      </w:r>
      <w:bookmarkEnd w:id="100043"/>
    </w:p>
    <w:p>
      <w:pPr>
        <w:spacing w:after="100" w:line="312"/>
        <w:ind w:firstLine="480"/>
        <w:jc w:val="both"/>
      </w:pPr>
      <w:r>
        <w:rPr>
          <w:rFonts w:ascii="Times New Roman"/>
          <w:color w:val="1A1A1A"/>
          <w:sz w:val="24"/>
          <w:szCs w:val="24"/>
        </w:rPr>
        <w:t xml:space="preserve">AI governance does not need to be invented from scratch. The standards and frameworks below provide tested reference architectures, control catalogs and assessment methodologies. Where more than one applies, organizations should map their controls to each, rather than running parallel programs.</w:t>
      </w:r>
    </w:p>
    <w:p>
      <w:pPr>
        <w:pStyle w:val="ListParagraph"/>
        <w:numPr>
          <w:ilvl w:val="0"/>
          <w:numId w:val="1"/>
        </w:numPr>
        <w:spacing w:after="60" w:line="312"/>
      </w:pPr>
      <w:r>
        <w:rPr>
          <w:rFonts w:ascii="Times New Roman"/>
          <w:color w:val="1A1A1A"/>
          <w:sz w:val="24"/>
          <w:szCs w:val="24"/>
        </w:rPr>
        <w:t xml:space="preserve">NIST AI Risk Management Framework (AI RMF) — Govern, Map, Measure, Manage functions.</w:t>
      </w:r>
    </w:p>
    <w:p>
      <w:pPr>
        <w:pStyle w:val="ListParagraph"/>
        <w:numPr>
          <w:ilvl w:val="0"/>
          <w:numId w:val="1"/>
        </w:numPr>
        <w:spacing w:after="60" w:line="312"/>
      </w:pPr>
      <w:r>
        <w:rPr>
          <w:rFonts w:ascii="Times New Roman"/>
          <w:color w:val="1A1A1A"/>
          <w:sz w:val="24"/>
          <w:szCs w:val="24"/>
        </w:rPr>
        <w:t xml:space="preserve">ISO/IEC 42001 — AI Management System (AIMS).</w:t>
      </w:r>
    </w:p>
    <w:p>
      <w:pPr>
        <w:pStyle w:val="ListParagraph"/>
        <w:numPr>
          <w:ilvl w:val="0"/>
          <w:numId w:val="1"/>
        </w:numPr>
        <w:spacing w:after="60" w:line="312"/>
      </w:pPr>
      <w:r>
        <w:rPr>
          <w:rFonts w:ascii="Times New Roman"/>
          <w:color w:val="1A1A1A"/>
          <w:sz w:val="24"/>
          <w:szCs w:val="24"/>
        </w:rPr>
        <w:t xml:space="preserve">ISO/IEC 27001 — Information Security Management Systems.</w:t>
      </w:r>
    </w:p>
    <w:p>
      <w:pPr>
        <w:pStyle w:val="ListParagraph"/>
        <w:numPr>
          <w:ilvl w:val="0"/>
          <w:numId w:val="1"/>
        </w:numPr>
        <w:spacing w:after="60" w:line="312"/>
      </w:pPr>
      <w:r>
        <w:rPr>
          <w:rFonts w:ascii="Times New Roman"/>
          <w:color w:val="1A1A1A"/>
          <w:sz w:val="24"/>
          <w:szCs w:val="24"/>
        </w:rPr>
        <w:t xml:space="preserve">ISO/IEC 27701 — Privacy Information Management.</w:t>
      </w:r>
    </w:p>
    <w:p>
      <w:pPr>
        <w:pStyle w:val="ListParagraph"/>
        <w:numPr>
          <w:ilvl w:val="0"/>
          <w:numId w:val="1"/>
        </w:numPr>
        <w:spacing w:after="60" w:line="312"/>
      </w:pPr>
      <w:r>
        <w:rPr>
          <w:rFonts w:ascii="Times New Roman"/>
          <w:color w:val="1A1A1A"/>
          <w:sz w:val="24"/>
          <w:szCs w:val="24"/>
        </w:rPr>
        <w:t xml:space="preserve">ISO/IEC 23894 — AI Risk Management guidance.</w:t>
      </w:r>
    </w:p>
    <w:p>
      <w:pPr>
        <w:pStyle w:val="ListParagraph"/>
        <w:numPr>
          <w:ilvl w:val="0"/>
          <w:numId w:val="1"/>
        </w:numPr>
        <w:spacing w:after="60" w:line="312"/>
      </w:pPr>
      <w:r>
        <w:rPr>
          <w:rFonts w:ascii="Times New Roman"/>
          <w:color w:val="1A1A1A"/>
          <w:sz w:val="24"/>
          <w:szCs w:val="24"/>
        </w:rPr>
        <w:t xml:space="preserve">OECD AI Principles — principles for responsible AI.</w:t>
      </w:r>
    </w:p>
    <w:p>
      <w:pPr>
        <w:pStyle w:val="ListParagraph"/>
        <w:numPr>
          <w:ilvl w:val="0"/>
          <w:numId w:val="1"/>
        </w:numPr>
        <w:spacing w:after="60" w:line="312"/>
      </w:pPr>
      <w:r>
        <w:rPr>
          <w:rFonts w:ascii="Times New Roman"/>
          <w:color w:val="1A1A1A"/>
          <w:sz w:val="24"/>
          <w:szCs w:val="24"/>
        </w:rPr>
        <w:t xml:space="preserve">EU AI Act — risk-based regulation for AI placed on the EU market.</w:t>
      </w:r>
    </w:p>
    <w:p>
      <w:pPr>
        <w:pStyle w:val="ListParagraph"/>
        <w:numPr>
          <w:ilvl w:val="0"/>
          <w:numId w:val="1"/>
        </w:numPr>
        <w:spacing w:after="60" w:line="312"/>
      </w:pPr>
      <w:r>
        <w:rPr>
          <w:rFonts w:ascii="Times New Roman"/>
          <w:color w:val="1A1A1A"/>
          <w:sz w:val="24"/>
          <w:szCs w:val="24"/>
        </w:rPr>
        <w:t xml:space="preserve">Applicable national, regional and industry-specific AI/privacy requirements.</w:t>
      </w:r>
    </w:p>
    <w:p>
      <w:pPr>
        <w:pStyle w:val="Heading1"/>
        <w:spacing w:after="160" w:before="360" w:line="312"/>
      </w:pPr>
      <w:bookmarkStart w:id="100044" w:name="_Toc100044"/>
      <w:r>
        <w:rPr>
          <w:rFonts w:ascii="Calibri"/>
          <w:b/>
          <w:bCs/>
          <w:color w:val="0B1C2C"/>
          <w:sz w:val="32"/>
          <w:szCs w:val="32"/>
        </w:rPr>
        <w:t xml:space="preserve">23. Recommended AI Stack for Business Development &amp; Marketing</w:t>
      </w:r>
      <w:bookmarkEnd w:id="100044"/>
    </w:p>
    <w:p>
      <w:pPr>
        <w:spacing w:after="100" w:line="312"/>
        <w:ind w:firstLine="480"/>
        <w:jc w:val="both"/>
      </w:pPr>
      <w:r>
        <w:rPr>
          <w:rFonts w:ascii="Times New Roman"/>
          <w:color w:val="1A1A1A"/>
          <w:sz w:val="24"/>
          <w:szCs w:val="24"/>
        </w:rPr>
        <w:t xml:space="preserve">The recommended stack below is a starting point for business development and marketing teams. It is deliberately conservative: it favors enterprise-grade tools with mature admin controls over consumer-grade tools with broader feature sets.</w:t>
      </w:r>
    </w:p>
    <w:p>
      <w:pPr>
        <w:keepNext/>
        <w:spacing w:after="80" w:before="200"/>
      </w:pPr>
      <w:r>
        <w:rPr>
          <w:rFonts w:ascii="Calibri"/>
          <w:b/>
          <w:bCs/>
          <w:color w:val="0B1C2C"/>
          <w:sz w:val="22"/>
          <w:szCs w:val="22"/>
        </w:rPr>
        <w:t xml:space="preserve">Table 10. Recommended AI Stack</w:t>
      </w:r>
    </w:p>
    <w:tbl>
      <w:tblPr>
        <w:tblW w:type="pct" w:w="100%"/>
        <w:tblBorders>
          <w:top w:val="single" w:color="529286" w:sz="6"/>
          <w:left w:val="none"/>
          <w:bottom w:val="single" w:color="529286" w:sz="6"/>
          <w:right w:val="none"/>
          <w:insideH w:val="single" w:color="BECFCC" w:sz="1"/>
          <w:insideV w:val="none"/>
        </w:tblBorders>
        <w:tblLayout w:type="fixed"/>
      </w:tblPr>
      <w:tblGrid>
        <w:gridCol w:w="100"/>
        <w:gridCol w:w="100"/>
        <w:gridCol w:w="100"/>
      </w:tblGrid>
      <w:tr>
        <w:trPr>
          <w:cantSplit/>
          <w:tblHeader/>
        </w:trPr>
        <w:tc>
          <w:tcPr>
            <w:tcW w:type="pct" w:w="22%"/>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Layer</w:t>
            </w:r>
          </w:p>
        </w:tc>
        <w:tc>
          <w:tcPr>
            <w:tcW w:type="pct" w:w="38%"/>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Recommended Direction</w:t>
            </w:r>
          </w:p>
        </w:tc>
        <w:tc>
          <w:tcPr>
            <w:tcW w:type="pct" w:w="40%"/>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Primary Purpose</w:t>
            </w:r>
          </w:p>
        </w:tc>
      </w:tr>
      <w:tr>
        <w:trPr>
          <w:cantSplit/>
        </w:trPr>
        <w:tc>
          <w:tcPr>
            <w:tcW w:type="pct" w:w="22%"/>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AI Productivity</w:t>
            </w:r>
          </w:p>
        </w:tc>
        <w:tc>
          <w:tcPr>
            <w:tcW w:type="pct" w:w="38%"/>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ChatGPT Business / Microsoft Copilot / Google Workspace AI</w:t>
            </w:r>
          </w:p>
        </w:tc>
        <w:tc>
          <w:tcPr>
            <w:tcW w:type="pct" w:w="40%"/>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Research, strategy, content, analysis, proposals and productivity</w:t>
            </w:r>
          </w:p>
        </w:tc>
      </w:tr>
      <w:tr>
        <w:trPr>
          <w:cantSplit/>
        </w:trPr>
        <w:tc>
          <w:tcPr>
            <w:tcW w:type="pct" w:w="22%"/>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CRM &amp; Marketing</w:t>
            </w:r>
          </w:p>
        </w:tc>
        <w:tc>
          <w:tcPr>
            <w:tcW w:type="pct" w:w="38%"/>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HubSpot + Breeze / Salesforce Einstein</w:t>
            </w:r>
          </w:p>
        </w:tc>
        <w:tc>
          <w:tcPr>
            <w:tcW w:type="pct" w:w="40%"/>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CRM, leads, sales pipeline, marketing and automation</w:t>
            </w:r>
          </w:p>
        </w:tc>
      </w:tr>
      <w:tr>
        <w:trPr>
          <w:cantSplit/>
        </w:trPr>
        <w:tc>
          <w:tcPr>
            <w:tcW w:type="pct" w:w="22%"/>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B2B Prospecting</w:t>
            </w:r>
          </w:p>
        </w:tc>
        <w:tc>
          <w:tcPr>
            <w:tcW w:type="pct" w:w="38%"/>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Apollo</w:t>
            </w:r>
          </w:p>
        </w:tc>
        <w:tc>
          <w:tcPr>
            <w:tcW w:type="pct" w:w="40%"/>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Prospect discovery and outbound sales</w:t>
            </w:r>
          </w:p>
        </w:tc>
      </w:tr>
      <w:tr>
        <w:trPr>
          <w:cantSplit/>
        </w:trPr>
        <w:tc>
          <w:tcPr>
            <w:tcW w:type="pct" w:w="22%"/>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Advanced Prospecting</w:t>
            </w:r>
          </w:p>
        </w:tc>
        <w:tc>
          <w:tcPr>
            <w:tcW w:type="pct" w:w="38%"/>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Clay</w:t>
            </w:r>
          </w:p>
        </w:tc>
        <w:tc>
          <w:tcPr>
            <w:tcW w:type="pct" w:w="40%"/>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Enrichment, research and personalization</w:t>
            </w:r>
          </w:p>
        </w:tc>
      </w:tr>
      <w:tr>
        <w:trPr>
          <w:cantSplit/>
        </w:trPr>
        <w:tc>
          <w:tcPr>
            <w:tcW w:type="pct" w:w="22%"/>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Security / Governance</w:t>
            </w:r>
          </w:p>
        </w:tc>
        <w:tc>
          <w:tcPr>
            <w:tcW w:type="pct" w:w="38%"/>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Existing enterprise security ecosystem</w:t>
            </w:r>
          </w:p>
        </w:tc>
        <w:tc>
          <w:tcPr>
            <w:tcW w:type="pct" w:w="40%"/>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Identity, DLP, SIEM, classification, audit and vendor risk</w:t>
            </w:r>
          </w:p>
        </w:tc>
      </w:tr>
    </w:tbl>
    <w:p>
      <w:pPr>
        <w:spacing w:after="100" w:line="312"/>
        <w:ind w:firstLine="480"/>
        <w:jc w:val="both"/>
      </w:pPr>
      <w:r>
        <w:rPr>
          <w:rFonts w:ascii="Times New Roman"/>
          <w:color w:val="1A1A1A"/>
          <w:sz w:val="24"/>
          <w:szCs w:val="24"/>
        </w:rPr>
        <w:t xml:space="preserve">These are technology directions, not blanket endorsements. Before procurement, verify current pricing, security documentation, data-processing terms, compliance scope, integrations and suitability for the organization's requirements.</w:t>
      </w:r>
    </w:p>
    <w:p>
      <w:pPr>
        <w:pStyle w:val="Heading1"/>
        <w:spacing w:after="160" w:before="360" w:line="312"/>
      </w:pPr>
      <w:bookmarkStart w:id="100045" w:name="_Toc100045"/>
      <w:r>
        <w:rPr>
          <w:rFonts w:ascii="Calibri"/>
          <w:b/>
          <w:bCs/>
          <w:color w:val="0B1C2C"/>
          <w:sz w:val="32"/>
          <w:szCs w:val="32"/>
        </w:rPr>
        <w:t xml:space="preserve">24. Corporate AI Governance Checklist</w:t>
      </w:r>
      <w:bookmarkEnd w:id="100045"/>
    </w:p>
    <w:p>
      <w:pPr>
        <w:spacing w:after="100" w:line="312"/>
        <w:ind w:firstLine="480"/>
        <w:jc w:val="both"/>
      </w:pPr>
      <w:r>
        <w:rPr>
          <w:rFonts w:ascii="Times New Roman"/>
          <w:color w:val="1A1A1A"/>
          <w:sz w:val="24"/>
          <w:szCs w:val="24"/>
        </w:rPr>
        <w:t xml:space="preserve">The checklist below is a quick self-assessment for organizations that already have a program in place. A "not done" answer on any item is a candidate for the next quarter's governance work plan.</w:t>
      </w:r>
    </w:p>
    <w:p>
      <w:pPr>
        <w:pStyle w:val="ListParagraph"/>
        <w:numPr>
          <w:ilvl w:val="0"/>
          <w:numId w:val="1"/>
        </w:numPr>
        <w:spacing w:after="60" w:line="312"/>
      </w:pPr>
      <w:r>
        <w:rPr>
          <w:rFonts w:ascii="Times New Roman"/>
          <w:color w:val="1A1A1A"/>
          <w:sz w:val="24"/>
          <w:szCs w:val="24"/>
        </w:rPr>
        <w:t xml:space="preserve">AI governance committee established and meeting regularly.</w:t>
      </w:r>
    </w:p>
    <w:p>
      <w:pPr>
        <w:pStyle w:val="ListParagraph"/>
        <w:numPr>
          <w:ilvl w:val="0"/>
          <w:numId w:val="1"/>
        </w:numPr>
        <w:spacing w:after="60" w:line="312"/>
      </w:pPr>
      <w:r>
        <w:rPr>
          <w:rFonts w:ascii="Times New Roman"/>
          <w:color w:val="1A1A1A"/>
          <w:sz w:val="24"/>
          <w:szCs w:val="24"/>
        </w:rPr>
        <w:t xml:space="preserve">AI Acceptable Use Policy approved and communicated.</w:t>
      </w:r>
    </w:p>
    <w:p>
      <w:pPr>
        <w:pStyle w:val="ListParagraph"/>
        <w:numPr>
          <w:ilvl w:val="0"/>
          <w:numId w:val="1"/>
        </w:numPr>
        <w:spacing w:after="60" w:line="312"/>
      </w:pPr>
      <w:r>
        <w:rPr>
          <w:rFonts w:ascii="Times New Roman"/>
          <w:color w:val="1A1A1A"/>
          <w:sz w:val="24"/>
          <w:szCs w:val="24"/>
        </w:rPr>
        <w:t xml:space="preserve">AI tool inventory maintained and reviewed at least quarterly.</w:t>
      </w:r>
    </w:p>
    <w:p>
      <w:pPr>
        <w:pStyle w:val="ListParagraph"/>
        <w:numPr>
          <w:ilvl w:val="0"/>
          <w:numId w:val="1"/>
        </w:numPr>
        <w:spacing w:after="60" w:line="312"/>
      </w:pPr>
      <w:r>
        <w:rPr>
          <w:rFonts w:ascii="Times New Roman"/>
          <w:color w:val="1A1A1A"/>
          <w:sz w:val="24"/>
          <w:szCs w:val="24"/>
        </w:rPr>
        <w:t xml:space="preserve">AI use case register maintained with current owners.</w:t>
      </w:r>
    </w:p>
    <w:p>
      <w:pPr>
        <w:pStyle w:val="ListParagraph"/>
        <w:numPr>
          <w:ilvl w:val="0"/>
          <w:numId w:val="1"/>
        </w:numPr>
        <w:spacing w:after="60" w:line="312"/>
      </w:pPr>
      <w:r>
        <w:rPr>
          <w:rFonts w:ascii="Times New Roman"/>
          <w:color w:val="1A1A1A"/>
          <w:sz w:val="24"/>
          <w:szCs w:val="24"/>
        </w:rPr>
        <w:t xml:space="preserve">Data classification implemented and enforced through DLP where possible.</w:t>
      </w:r>
    </w:p>
    <w:p>
      <w:pPr>
        <w:pStyle w:val="ListParagraph"/>
        <w:numPr>
          <w:ilvl w:val="0"/>
          <w:numId w:val="1"/>
        </w:numPr>
        <w:spacing w:after="60" w:line="312"/>
      </w:pPr>
      <w:r>
        <w:rPr>
          <w:rFonts w:ascii="Times New Roman"/>
          <w:color w:val="1A1A1A"/>
          <w:sz w:val="24"/>
          <w:szCs w:val="24"/>
        </w:rPr>
        <w:t xml:space="preserve">Vendor risk assessment completed for all material AI vendors.</w:t>
      </w:r>
    </w:p>
    <w:p>
      <w:pPr>
        <w:pStyle w:val="ListParagraph"/>
        <w:numPr>
          <w:ilvl w:val="0"/>
          <w:numId w:val="1"/>
        </w:numPr>
        <w:spacing w:after="60" w:line="312"/>
      </w:pPr>
      <w:r>
        <w:rPr>
          <w:rFonts w:ascii="Times New Roman"/>
          <w:color w:val="1A1A1A"/>
          <w:sz w:val="24"/>
          <w:szCs w:val="24"/>
        </w:rPr>
        <w:t xml:space="preserve">SSO / MFA enabled where supported.</w:t>
      </w:r>
    </w:p>
    <w:p>
      <w:pPr>
        <w:pStyle w:val="ListParagraph"/>
        <w:numPr>
          <w:ilvl w:val="0"/>
          <w:numId w:val="1"/>
        </w:numPr>
        <w:spacing w:after="60" w:line="312"/>
      </w:pPr>
      <w:r>
        <w:rPr>
          <w:rFonts w:ascii="Times New Roman"/>
          <w:color w:val="1A1A1A"/>
          <w:sz w:val="24"/>
          <w:szCs w:val="24"/>
        </w:rPr>
        <w:t xml:space="preserve">Role-based access implemented and reviewed on a defined cadence.</w:t>
      </w:r>
    </w:p>
    <w:p>
      <w:pPr>
        <w:pStyle w:val="ListParagraph"/>
        <w:numPr>
          <w:ilvl w:val="0"/>
          <w:numId w:val="1"/>
        </w:numPr>
        <w:spacing w:after="60" w:line="312"/>
      </w:pPr>
      <w:r>
        <w:rPr>
          <w:rFonts w:ascii="Times New Roman"/>
          <w:color w:val="1A1A1A"/>
          <w:sz w:val="24"/>
          <w:szCs w:val="24"/>
        </w:rPr>
        <w:t xml:space="preserve">Audit logging enabled where available and retained per policy.</w:t>
      </w:r>
    </w:p>
    <w:p>
      <w:pPr>
        <w:pStyle w:val="ListParagraph"/>
        <w:numPr>
          <w:ilvl w:val="0"/>
          <w:numId w:val="1"/>
        </w:numPr>
        <w:spacing w:after="60" w:line="312"/>
      </w:pPr>
      <w:r>
        <w:rPr>
          <w:rFonts w:ascii="Times New Roman"/>
          <w:color w:val="1A1A1A"/>
          <w:sz w:val="24"/>
          <w:szCs w:val="24"/>
        </w:rPr>
        <w:t xml:space="preserve">Employee AI training completed within 30 days of access.</w:t>
      </w:r>
    </w:p>
    <w:p>
      <w:pPr>
        <w:pStyle w:val="ListParagraph"/>
        <w:numPr>
          <w:ilvl w:val="0"/>
          <w:numId w:val="1"/>
        </w:numPr>
        <w:spacing w:after="60" w:line="312"/>
      </w:pPr>
      <w:r>
        <w:rPr>
          <w:rFonts w:ascii="Times New Roman"/>
          <w:color w:val="1A1A1A"/>
          <w:sz w:val="24"/>
          <w:szCs w:val="24"/>
        </w:rPr>
        <w:t xml:space="preserve">High-risk AI use cases reviewed before deployment.</w:t>
      </w:r>
    </w:p>
    <w:p>
      <w:pPr>
        <w:pStyle w:val="ListParagraph"/>
        <w:numPr>
          <w:ilvl w:val="0"/>
          <w:numId w:val="1"/>
        </w:numPr>
        <w:spacing w:after="60" w:line="312"/>
      </w:pPr>
      <w:r>
        <w:rPr>
          <w:rFonts w:ascii="Times New Roman"/>
          <w:color w:val="1A1A1A"/>
          <w:sz w:val="24"/>
          <w:szCs w:val="24"/>
        </w:rPr>
        <w:t xml:space="preserve">Human oversight defined for consequential decisions.</w:t>
      </w:r>
    </w:p>
    <w:p>
      <w:pPr>
        <w:pStyle w:val="ListParagraph"/>
        <w:numPr>
          <w:ilvl w:val="0"/>
          <w:numId w:val="1"/>
        </w:numPr>
        <w:spacing w:after="60" w:line="312"/>
      </w:pPr>
      <w:r>
        <w:rPr>
          <w:rFonts w:ascii="Times New Roman"/>
          <w:color w:val="1A1A1A"/>
          <w:sz w:val="24"/>
          <w:szCs w:val="24"/>
        </w:rPr>
        <w:t xml:space="preserve">AI incident response process established and exercised.</w:t>
      </w:r>
    </w:p>
    <w:p>
      <w:pPr>
        <w:pStyle w:val="ListParagraph"/>
        <w:numPr>
          <w:ilvl w:val="0"/>
          <w:numId w:val="1"/>
        </w:numPr>
        <w:spacing w:after="60" w:line="312"/>
      </w:pPr>
      <w:r>
        <w:rPr>
          <w:rFonts w:ascii="Times New Roman"/>
          <w:color w:val="1A1A1A"/>
          <w:sz w:val="24"/>
          <w:szCs w:val="24"/>
        </w:rPr>
        <w:t xml:space="preserve">Monitoring dashboard implemented and reviewed monthly.</w:t>
      </w:r>
    </w:p>
    <w:p>
      <w:pPr>
        <w:pStyle w:val="ListParagraph"/>
        <w:numPr>
          <w:ilvl w:val="0"/>
          <w:numId w:val="1"/>
        </w:numPr>
        <w:spacing w:after="60" w:line="312"/>
      </w:pPr>
      <w:r>
        <w:rPr>
          <w:rFonts w:ascii="Times New Roman"/>
          <w:color w:val="1A1A1A"/>
          <w:sz w:val="24"/>
          <w:szCs w:val="24"/>
        </w:rPr>
        <w:t xml:space="preserve">Periodic vendor and policy review scheduled.</w:t>
      </w:r>
    </w:p>
    <w:p>
      <w:pPr>
        <w:pStyle w:val="Heading1"/>
        <w:spacing w:after="160" w:before="360" w:line="312"/>
      </w:pPr>
      <w:bookmarkStart w:id="100046" w:name="_Toc100046"/>
      <w:r>
        <w:rPr>
          <w:rFonts w:ascii="Calibri"/>
          <w:b/>
          <w:bCs/>
          <w:color w:val="0B1C2C"/>
          <w:sz w:val="32"/>
          <w:szCs w:val="32"/>
        </w:rPr>
        <w:t xml:space="preserve">25. The 10 Golden Rules of Business AI</w:t>
      </w:r>
      <w:bookmarkEnd w:id="100046"/>
    </w:p>
    <w:p>
      <w:pPr>
        <w:spacing w:after="100" w:line="312"/>
        <w:ind w:firstLine="480"/>
        <w:jc w:val="both"/>
      </w:pPr>
      <w:r>
        <w:rPr>
          <w:rFonts w:ascii="Times New Roman"/>
          <w:color w:val="1A1A1A"/>
          <w:sz w:val="24"/>
          <w:szCs w:val="24"/>
        </w:rPr>
        <w:t xml:space="preserve">The ten rules below are a one-page summary of the policy. They are designed to be printed, posted and remembered — the simplest possible statement of what every employee should do when using AI on behalf of the organization.</w:t>
      </w:r>
    </w:p>
    <w:p>
      <w:pPr>
        <w:pStyle w:val="ListParagraph"/>
        <w:numPr>
          <w:ilvl w:val="0"/>
          <w:numId w:val="6"/>
        </w:numPr>
        <w:spacing w:after="60" w:line="312"/>
      </w:pPr>
      <w:r>
        <w:rPr>
          <w:rFonts w:ascii="Times New Roman"/>
          <w:color w:val="1A1A1A"/>
          <w:sz w:val="24"/>
          <w:szCs w:val="24"/>
        </w:rPr>
        <w:t xml:space="preserve">Use approved AI tools.</w:t>
      </w:r>
    </w:p>
    <w:p>
      <w:pPr>
        <w:pStyle w:val="ListParagraph"/>
        <w:numPr>
          <w:ilvl w:val="0"/>
          <w:numId w:val="6"/>
        </w:numPr>
        <w:spacing w:after="60" w:line="312"/>
      </w:pPr>
      <w:r>
        <w:rPr>
          <w:rFonts w:ascii="Times New Roman"/>
          <w:color w:val="1A1A1A"/>
          <w:sz w:val="24"/>
          <w:szCs w:val="24"/>
        </w:rPr>
        <w:t xml:space="preserve">Never share passwords or API keys with AI tools.</w:t>
      </w:r>
    </w:p>
    <w:p>
      <w:pPr>
        <w:pStyle w:val="ListParagraph"/>
        <w:numPr>
          <w:ilvl w:val="0"/>
          <w:numId w:val="6"/>
        </w:numPr>
        <w:spacing w:after="60" w:line="312"/>
      </w:pPr>
      <w:r>
        <w:rPr>
          <w:rFonts w:ascii="Times New Roman"/>
          <w:color w:val="1A1A1A"/>
          <w:sz w:val="24"/>
          <w:szCs w:val="24"/>
        </w:rPr>
        <w:t xml:space="preserve">Never upload confidential information into unauthorized AI tools.</w:t>
      </w:r>
    </w:p>
    <w:p>
      <w:pPr>
        <w:pStyle w:val="ListParagraph"/>
        <w:numPr>
          <w:ilvl w:val="0"/>
          <w:numId w:val="6"/>
        </w:numPr>
        <w:spacing w:after="60" w:line="312"/>
      </w:pPr>
      <w:r>
        <w:rPr>
          <w:rFonts w:ascii="Times New Roman"/>
          <w:color w:val="1A1A1A"/>
          <w:sz w:val="24"/>
          <w:szCs w:val="24"/>
        </w:rPr>
        <w:t xml:space="preserve">Follow company data-classification rules.</w:t>
      </w:r>
    </w:p>
    <w:p>
      <w:pPr>
        <w:pStyle w:val="ListParagraph"/>
        <w:numPr>
          <w:ilvl w:val="0"/>
          <w:numId w:val="6"/>
        </w:numPr>
        <w:spacing w:after="60" w:line="312"/>
      </w:pPr>
      <w:r>
        <w:rPr>
          <w:rFonts w:ascii="Times New Roman"/>
          <w:color w:val="1A1A1A"/>
          <w:sz w:val="24"/>
          <w:szCs w:val="24"/>
        </w:rPr>
        <w:t xml:space="preserve">Verify important AI-generated information.</w:t>
      </w:r>
    </w:p>
    <w:p>
      <w:pPr>
        <w:pStyle w:val="ListParagraph"/>
        <w:numPr>
          <w:ilvl w:val="0"/>
          <w:numId w:val="6"/>
        </w:numPr>
        <w:spacing w:after="60" w:line="312"/>
      </w:pPr>
      <w:r>
        <w:rPr>
          <w:rFonts w:ascii="Times New Roman"/>
          <w:color w:val="1A1A1A"/>
          <w:sz w:val="24"/>
          <w:szCs w:val="24"/>
        </w:rPr>
        <w:t xml:space="preserve">Do not blindly trust AI output.</w:t>
      </w:r>
    </w:p>
    <w:p>
      <w:pPr>
        <w:pStyle w:val="ListParagraph"/>
        <w:numPr>
          <w:ilvl w:val="0"/>
          <w:numId w:val="6"/>
        </w:numPr>
        <w:spacing w:after="60" w:line="312"/>
      </w:pPr>
      <w:r>
        <w:rPr>
          <w:rFonts w:ascii="Times New Roman"/>
          <w:color w:val="1A1A1A"/>
          <w:sz w:val="24"/>
          <w:szCs w:val="24"/>
        </w:rPr>
        <w:t xml:space="preserve">Keep humans involved in important decisions.</w:t>
      </w:r>
    </w:p>
    <w:p>
      <w:pPr>
        <w:pStyle w:val="ListParagraph"/>
        <w:numPr>
          <w:ilvl w:val="0"/>
          <w:numId w:val="6"/>
        </w:numPr>
        <w:spacing w:after="60" w:line="312"/>
      </w:pPr>
      <w:r>
        <w:rPr>
          <w:rFonts w:ascii="Times New Roman"/>
          <w:color w:val="1A1A1A"/>
          <w:sz w:val="24"/>
          <w:szCs w:val="24"/>
        </w:rPr>
        <w:t xml:space="preserve">Protect customer and employee information.</w:t>
      </w:r>
    </w:p>
    <w:p>
      <w:pPr>
        <w:pStyle w:val="ListParagraph"/>
        <w:numPr>
          <w:ilvl w:val="0"/>
          <w:numId w:val="6"/>
        </w:numPr>
        <w:spacing w:after="60" w:line="312"/>
      </w:pPr>
      <w:r>
        <w:rPr>
          <w:rFonts w:ascii="Times New Roman"/>
          <w:color w:val="1A1A1A"/>
          <w:sz w:val="24"/>
          <w:szCs w:val="24"/>
        </w:rPr>
        <w:t xml:space="preserve">Report AI security incidents immediately.</w:t>
      </w:r>
    </w:p>
    <w:p>
      <w:pPr>
        <w:pStyle w:val="ListParagraph"/>
        <w:numPr>
          <w:ilvl w:val="0"/>
          <w:numId w:val="6"/>
        </w:numPr>
        <w:spacing w:after="60" w:line="312"/>
      </w:pPr>
      <w:r>
        <w:rPr>
          <w:rFonts w:ascii="Times New Roman"/>
          <w:color w:val="1A1A1A"/>
          <w:sz w:val="24"/>
          <w:szCs w:val="24"/>
        </w:rPr>
        <w:t xml:space="preserve">When in doubt, ask IT, Security or AI Governance before using AI.</w:t>
      </w:r>
    </w:p>
    <w:p>
      <w:pPr>
        <w:pStyle w:val="Heading1"/>
        <w:spacing w:after="160" w:before="360" w:line="312"/>
      </w:pPr>
      <w:bookmarkStart w:id="100047" w:name="_Toc100047"/>
      <w:r>
        <w:rPr>
          <w:rFonts w:ascii="Calibri"/>
          <w:b/>
          <w:bCs/>
          <w:color w:val="0B1C2C"/>
          <w:sz w:val="32"/>
          <w:szCs w:val="32"/>
        </w:rPr>
        <w:t xml:space="preserve">26. Documentation of Best Practices</w:t>
      </w:r>
      <w:bookmarkEnd w:id="100047"/>
    </w:p>
    <w:p>
      <w:pPr>
        <w:spacing w:after="100" w:line="312"/>
        <w:ind w:firstLine="480"/>
        <w:jc w:val="both"/>
      </w:pPr>
      <w:r>
        <w:rPr>
          <w:rFonts w:ascii="Times New Roman"/>
          <w:color w:val="1A1A1A"/>
          <w:sz w:val="24"/>
          <w:szCs w:val="24"/>
        </w:rPr>
        <w:t xml:space="preserve">Best practices translate the policy from Section 13 into the daily habits that make AI governance visible, repeatable and auditable. This section documents the operational practices that the most mature AI governance programs have in common. They are organized into six sub-sections: a code of conduct for daily usage, prompt engineering guidance, department-specific do's and don'ts, communication and disclosure norms, documentation and audit trail practices, and continuous improvement practices. Organizations should adopt these practices as a baseline and refine them based on their own risk profile, regulatory environment and culture.</w:t>
      </w:r>
    </w:p>
    <w:p>
      <w:pPr>
        <w:pStyle w:val="Heading2"/>
        <w:spacing w:after="120" w:before="240" w:line="312"/>
      </w:pPr>
      <w:bookmarkStart w:id="100048" w:name="_Toc100048"/>
      <w:r>
        <w:rPr>
          <w:rFonts w:ascii="Calibri"/>
          <w:b/>
          <w:bCs/>
          <w:color w:val="0B1C2C"/>
          <w:sz w:val="28"/>
          <w:szCs w:val="28"/>
        </w:rPr>
        <w:t xml:space="preserve">26.1 Code of Conduct for Daily AI Usage</w:t>
      </w:r>
      <w:bookmarkEnd w:id="100048"/>
    </w:p>
    <w:p>
      <w:pPr>
        <w:spacing w:after="100" w:line="312"/>
        <w:ind w:firstLine="480"/>
        <w:jc w:val="both"/>
      </w:pPr>
      <w:r>
        <w:rPr>
          <w:rFonts w:ascii="Times New Roman"/>
          <w:color w:val="1A1A1A"/>
          <w:sz w:val="24"/>
          <w:szCs w:val="24"/>
        </w:rPr>
        <w:t xml:space="preserve">The code of conduct is the employee-facing counterpart of the policy. Where the policy defines what is and is not permitted, the code of conduct describes how permitted activity should be performed. It is built on five principles that should be reinforced in onboarding, training and managerial feedback.</w:t>
      </w:r>
    </w:p>
    <w:p>
      <w:pPr>
        <w:pStyle w:val="ListParagraph"/>
        <w:numPr>
          <w:ilvl w:val="0"/>
          <w:numId w:val="1"/>
        </w:numPr>
        <w:spacing w:after="60" w:line="312"/>
      </w:pPr>
      <w:r>
        <w:rPr>
          <w:rFonts w:ascii="Times New Roman"/>
          <w:color w:val="1A1A1A"/>
          <w:sz w:val="24"/>
          <w:szCs w:val="24"/>
        </w:rPr>
        <w:t xml:space="preserve">Purpose — Use AI for a defined business purpose. Avoid curiosity-driven exploration with real data; use synthetic or sample data instead.</w:t>
      </w:r>
    </w:p>
    <w:p>
      <w:pPr>
        <w:pStyle w:val="ListParagraph"/>
        <w:numPr>
          <w:ilvl w:val="0"/>
          <w:numId w:val="1"/>
        </w:numPr>
        <w:spacing w:after="60" w:line="312"/>
      </w:pPr>
      <w:r>
        <w:rPr>
          <w:rFonts w:ascii="Times New Roman"/>
          <w:color w:val="1A1A1A"/>
          <w:sz w:val="24"/>
          <w:szCs w:val="24"/>
        </w:rPr>
        <w:t xml:space="preserve">Restraint — Submit the minimum data needed for the task. Anonymize, generalize or redact identifiers wherever possible.</w:t>
      </w:r>
    </w:p>
    <w:p>
      <w:pPr>
        <w:pStyle w:val="ListParagraph"/>
        <w:numPr>
          <w:ilvl w:val="0"/>
          <w:numId w:val="1"/>
        </w:numPr>
        <w:spacing w:after="60" w:line="312"/>
      </w:pPr>
      <w:r>
        <w:rPr>
          <w:rFonts w:ascii="Times New Roman"/>
          <w:color w:val="1A1A1A"/>
          <w:sz w:val="24"/>
          <w:szCs w:val="24"/>
        </w:rPr>
        <w:t xml:space="preserve">Verification — Treat every AI output as a draft. Verify against trusted sources before using it in a decision, a customer communication or a published artifact.</w:t>
      </w:r>
    </w:p>
    <w:p>
      <w:pPr>
        <w:pStyle w:val="ListParagraph"/>
        <w:numPr>
          <w:ilvl w:val="0"/>
          <w:numId w:val="1"/>
        </w:numPr>
        <w:spacing w:after="60" w:line="312"/>
      </w:pPr>
      <w:r>
        <w:rPr>
          <w:rFonts w:ascii="Times New Roman"/>
          <w:color w:val="1A1A1A"/>
          <w:sz w:val="24"/>
          <w:szCs w:val="24"/>
        </w:rPr>
        <w:t xml:space="preserve">Disclosure — Disclose AI involvement where it is material, expected or required by law or contract. Do not present AI-generated content as human-authored where that distinction matters.</w:t>
      </w:r>
    </w:p>
    <w:p>
      <w:pPr>
        <w:pStyle w:val="ListParagraph"/>
        <w:numPr>
          <w:ilvl w:val="0"/>
          <w:numId w:val="1"/>
        </w:numPr>
        <w:spacing w:after="60" w:line="312"/>
      </w:pPr>
      <w:r>
        <w:rPr>
          <w:rFonts w:ascii="Times New Roman"/>
          <w:color w:val="1A1A1A"/>
          <w:sz w:val="24"/>
          <w:szCs w:val="24"/>
        </w:rPr>
        <w:t xml:space="preserve">Accountability — The human who submits the prompt owns the output. AI does not reduce accountability; it amplifies the need for it.</w:t>
      </w:r>
    </w:p>
    <w:p>
      <w:pPr>
        <w:pStyle w:val="Heading2"/>
        <w:spacing w:after="120" w:before="240" w:line="312"/>
      </w:pPr>
      <w:bookmarkStart w:id="100049" w:name="_Toc100049"/>
      <w:r>
        <w:rPr>
          <w:rFonts w:ascii="Calibri"/>
          <w:b/>
          <w:bCs/>
          <w:color w:val="0B1C2C"/>
          <w:sz w:val="28"/>
          <w:szCs w:val="28"/>
        </w:rPr>
        <w:t xml:space="preserve">26.2 Prompt Engineering Best Practices</w:t>
      </w:r>
      <w:bookmarkEnd w:id="100049"/>
    </w:p>
    <w:p>
      <w:pPr>
        <w:spacing w:after="100" w:line="312"/>
        <w:ind w:firstLine="480"/>
        <w:jc w:val="both"/>
      </w:pPr>
      <w:r>
        <w:rPr>
          <w:rFonts w:ascii="Times New Roman"/>
          <w:color w:val="1A1A1A"/>
          <w:sz w:val="24"/>
          <w:szCs w:val="24"/>
        </w:rPr>
        <w:t xml:space="preserve">Prompt engineering is both a productivity skill and a control. Well-structured prompts reduce hallucinations, limit unnecessary data exposure and produce more auditable outputs. The following practices should be embedded in training and reinforced by prompt libraries maintained by each department.</w:t>
      </w:r>
    </w:p>
    <w:p>
      <w:pPr>
        <w:pStyle w:val="ListParagraph"/>
        <w:numPr>
          <w:ilvl w:val="0"/>
          <w:numId w:val="1"/>
        </w:numPr>
        <w:spacing w:after="60" w:line="312"/>
      </w:pPr>
      <w:r>
        <w:rPr>
          <w:rFonts w:ascii="Times New Roman"/>
          <w:color w:val="1A1A1A"/>
          <w:sz w:val="24"/>
          <w:szCs w:val="24"/>
        </w:rPr>
        <w:t xml:space="preserve">State the role and objective explicitly — "You are a financial analyst summarizing the following report for an executive audience."</w:t>
      </w:r>
    </w:p>
    <w:p>
      <w:pPr>
        <w:pStyle w:val="ListParagraph"/>
        <w:numPr>
          <w:ilvl w:val="0"/>
          <w:numId w:val="1"/>
        </w:numPr>
        <w:spacing w:after="60" w:line="312"/>
      </w:pPr>
      <w:r>
        <w:rPr>
          <w:rFonts w:ascii="Times New Roman"/>
          <w:color w:val="1A1A1A"/>
          <w:sz w:val="24"/>
          <w:szCs w:val="24"/>
        </w:rPr>
        <w:t xml:space="preserve">Provide context and constraints — the audience, length, tone, format and any information that must not be included.</w:t>
      </w:r>
    </w:p>
    <w:p>
      <w:pPr>
        <w:pStyle w:val="ListParagraph"/>
        <w:numPr>
          <w:ilvl w:val="0"/>
          <w:numId w:val="1"/>
        </w:numPr>
        <w:spacing w:after="60" w:line="312"/>
      </w:pPr>
      <w:r>
        <w:rPr>
          <w:rFonts w:ascii="Times New Roman"/>
          <w:color w:val="1A1A1A"/>
          <w:sz w:val="24"/>
          <w:szCs w:val="24"/>
        </w:rPr>
        <w:t xml:space="preserve">Prefer few-shot examples for repeatable tasks — show the model one or two examples of the expected input and output.</w:t>
      </w:r>
    </w:p>
    <w:p>
      <w:pPr>
        <w:pStyle w:val="ListParagraph"/>
        <w:numPr>
          <w:ilvl w:val="0"/>
          <w:numId w:val="1"/>
        </w:numPr>
        <w:spacing w:after="60" w:line="312"/>
      </w:pPr>
      <w:r>
        <w:rPr>
          <w:rFonts w:ascii="Times New Roman"/>
          <w:color w:val="1A1A1A"/>
          <w:sz w:val="24"/>
          <w:szCs w:val="24"/>
        </w:rPr>
        <w:t xml:space="preserve">Use chain-of-thought prompts for analytical tasks — ask the model to show its reasoning before producing the final answer.</w:t>
      </w:r>
    </w:p>
    <w:p>
      <w:pPr>
        <w:pStyle w:val="ListParagraph"/>
        <w:numPr>
          <w:ilvl w:val="0"/>
          <w:numId w:val="1"/>
        </w:numPr>
        <w:spacing w:after="60" w:line="312"/>
      </w:pPr>
      <w:r>
        <w:rPr>
          <w:rFonts w:ascii="Times New Roman"/>
          <w:color w:val="1A1A1A"/>
          <w:sz w:val="24"/>
          <w:szCs w:val="24"/>
        </w:rPr>
        <w:t xml:space="preserve">Add a verification prompt at the end — "List any assumptions you made and any facts you could not verify."</w:t>
      </w:r>
    </w:p>
    <w:p>
      <w:pPr>
        <w:pStyle w:val="ListParagraph"/>
        <w:numPr>
          <w:ilvl w:val="0"/>
          <w:numId w:val="1"/>
        </w:numPr>
        <w:spacing w:after="60" w:line="312"/>
      </w:pPr>
      <w:r>
        <w:rPr>
          <w:rFonts w:ascii="Times New Roman"/>
          <w:color w:val="1A1A1A"/>
          <w:sz w:val="24"/>
          <w:szCs w:val="24"/>
        </w:rPr>
        <w:t xml:space="preserve">Never embed credentials, API keys, passwords or restricted personal data in a prompt.</w:t>
      </w:r>
    </w:p>
    <w:p>
      <w:pPr>
        <w:pStyle w:val="ListParagraph"/>
        <w:numPr>
          <w:ilvl w:val="0"/>
          <w:numId w:val="1"/>
        </w:numPr>
        <w:spacing w:after="60" w:line="312"/>
      </w:pPr>
      <w:r>
        <w:rPr>
          <w:rFonts w:ascii="Times New Roman"/>
          <w:color w:val="1A1A1A"/>
          <w:sz w:val="24"/>
          <w:szCs w:val="24"/>
        </w:rPr>
        <w:t xml:space="preserve">Save approved prompts in a departmental library so that successful patterns are reused rather than reinvented.</w:t>
      </w:r>
    </w:p>
    <w:p>
      <w:pPr>
        <w:pStyle w:val="Heading2"/>
        <w:spacing w:after="120" w:before="240" w:line="312"/>
      </w:pPr>
      <w:bookmarkStart w:id="100050" w:name="_Toc100050"/>
      <w:r>
        <w:rPr>
          <w:rFonts w:ascii="Calibri"/>
          <w:b/>
          <w:bCs/>
          <w:color w:val="0B1C2C"/>
          <w:sz w:val="28"/>
          <w:szCs w:val="28"/>
        </w:rPr>
        <w:t xml:space="preserve">26.3 Department-Specific Do's and Don'ts</w:t>
      </w:r>
      <w:bookmarkEnd w:id="100050"/>
    </w:p>
    <w:p>
      <w:pPr>
        <w:spacing w:after="100" w:line="312"/>
        <w:ind w:firstLine="480"/>
        <w:jc w:val="both"/>
      </w:pPr>
      <w:r>
        <w:rPr>
          <w:rFonts w:ascii="Times New Roman"/>
          <w:color w:val="1A1A1A"/>
          <w:sz w:val="24"/>
          <w:szCs w:val="24"/>
        </w:rPr>
        <w:t xml:space="preserve">The matrix below summarizes the practices that have the largest impact on risk and quality in each major business function. It is not exhaustive — departments should maintain their own expanded version — but it covers the most common failure patterns observed in practice.</w:t>
      </w:r>
    </w:p>
    <w:p>
      <w:pPr>
        <w:keepNext/>
        <w:spacing w:after="80" w:before="200"/>
      </w:pPr>
      <w:r>
        <w:rPr>
          <w:rFonts w:ascii="Calibri"/>
          <w:b/>
          <w:bCs/>
          <w:color w:val="0B1C2C"/>
          <w:sz w:val="22"/>
          <w:szCs w:val="22"/>
        </w:rPr>
        <w:t xml:space="preserve">Table 11. Department-Specific AI Do's and Don'ts</w:t>
      </w:r>
    </w:p>
    <w:tbl>
      <w:tblPr>
        <w:tblW w:type="pct" w:w="100%"/>
        <w:tblBorders>
          <w:top w:val="single" w:color="529286" w:sz="6"/>
          <w:left w:val="none"/>
          <w:bottom w:val="single" w:color="529286" w:sz="6"/>
          <w:right w:val="none"/>
          <w:insideH w:val="single" w:color="BECFCC" w:sz="1"/>
          <w:insideV w:val="none"/>
        </w:tblBorders>
        <w:tblLayout w:type="fixed"/>
      </w:tblPr>
      <w:tblGrid>
        <w:gridCol w:w="100"/>
        <w:gridCol w:w="100"/>
        <w:gridCol w:w="100"/>
      </w:tblGrid>
      <w:tr>
        <w:trPr>
          <w:cantSplit/>
          <w:tblHeader/>
        </w:trPr>
        <w:tc>
          <w:tcPr>
            <w:tcW w:type="pct" w:w="16%"/>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Department</w:t>
            </w:r>
          </w:p>
        </w:tc>
        <w:tc>
          <w:tcPr>
            <w:tcW w:type="pct" w:w="42%"/>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Do</w:t>
            </w:r>
          </w:p>
        </w:tc>
        <w:tc>
          <w:tcPr>
            <w:tcW w:type="pct" w:w="42%"/>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Don't</w:t>
            </w:r>
          </w:p>
        </w:tc>
      </w:tr>
      <w:tr>
        <w:trPr>
          <w:cantSplit/>
        </w:trPr>
        <w:tc>
          <w:tcPr>
            <w:tcW w:type="pct" w:w="16%"/>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Marketing</w:t>
            </w:r>
          </w:p>
        </w:tc>
        <w:tc>
          <w:tcPr>
            <w:tcW w:type="pct" w:w="42%"/>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Fact-check claims, brand-check tone, disclose AI assistance in regulated content</w:t>
            </w:r>
          </w:p>
        </w:tc>
        <w:tc>
          <w:tcPr>
            <w:tcW w:type="pct" w:w="42%"/>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Publish unreviewed AI claims or testimonials; use AI-generated likenesses without consent</w:t>
            </w:r>
          </w:p>
        </w:tc>
      </w:tr>
      <w:tr>
        <w:trPr>
          <w:cantSplit/>
        </w:trPr>
        <w:tc>
          <w:tcPr>
            <w:tcW w:type="pct" w:w="16%"/>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Sales</w:t>
            </w:r>
          </w:p>
        </w:tc>
        <w:tc>
          <w:tcPr>
            <w:tcW w:type="pct" w:w="42%"/>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Verify lead data, respect opt-outs, log AI-assisted outreach</w:t>
            </w:r>
          </w:p>
        </w:tc>
        <w:tc>
          <w:tcPr>
            <w:tcW w:type="pct" w:w="42%"/>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Feed prospect CRM data into consumer AI tools; send unreviewed AI-drafted outreach at scale</w:t>
            </w:r>
          </w:p>
        </w:tc>
      </w:tr>
      <w:tr>
        <w:trPr>
          <w:cantSplit/>
        </w:trPr>
        <w:tc>
          <w:tcPr>
            <w:tcW w:type="pct" w:w="16%"/>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Customer Service</w:t>
            </w:r>
          </w:p>
        </w:tc>
        <w:tc>
          <w:tcPr>
            <w:tcW w:type="pct" w:w="42%"/>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Use approved knowledge sources; escalate sensitive cases to humans</w:t>
            </w:r>
          </w:p>
        </w:tc>
        <w:tc>
          <w:tcPr>
            <w:tcW w:type="pct" w:w="42%"/>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Let AI answer account-security questions without human review; store chat logs with PII outside approved systems</w:t>
            </w:r>
          </w:p>
        </w:tc>
      </w:tr>
      <w:tr>
        <w:trPr>
          <w:cantSplit/>
        </w:trPr>
        <w:tc>
          <w:tcPr>
            <w:tcW w:type="pct" w:w="16%"/>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HR</w:t>
            </w:r>
          </w:p>
        </w:tc>
        <w:tc>
          <w:tcPr>
            <w:tcW w:type="pct" w:w="42%"/>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Use AI for job descriptions, training materials, FAQs</w:t>
            </w:r>
          </w:p>
        </w:tc>
        <w:tc>
          <w:tcPr>
            <w:tcW w:type="pct" w:w="42%"/>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Use AI to make hiring or evaluation decisions without documented human review</w:t>
            </w:r>
          </w:p>
        </w:tc>
      </w:tr>
      <w:tr>
        <w:trPr>
          <w:cantSplit/>
        </w:trPr>
        <w:tc>
          <w:tcPr>
            <w:tcW w:type="pct" w:w="16%"/>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Finance</w:t>
            </w:r>
          </w:p>
        </w:tc>
        <w:tc>
          <w:tcPr>
            <w:tcW w:type="pct" w:w="42%"/>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Use AI for analysis, reporting, reconciliation drafts</w:t>
            </w:r>
          </w:p>
        </w:tc>
        <w:tc>
          <w:tcPr>
            <w:tcW w:type="pct" w:w="42%"/>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Enter credentials or live financial systems data into AI tools; let AI post entries without human approval</w:t>
            </w:r>
          </w:p>
        </w:tc>
      </w:tr>
      <w:tr>
        <w:trPr>
          <w:cantSplit/>
        </w:trPr>
        <w:tc>
          <w:tcPr>
            <w:tcW w:type="pct" w:w="16%"/>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Software Development</w:t>
            </w:r>
          </w:p>
        </w:tc>
        <w:tc>
          <w:tcPr>
            <w:tcW w:type="pct" w:w="42%"/>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Review AI-generated code; scan for security issues; keep secrets out of prompts</w:t>
            </w:r>
          </w:p>
        </w:tc>
        <w:tc>
          <w:tcPr>
            <w:tcW w:type="pct" w:w="42%"/>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Paste proprietary source code into unapproved tools; merge AI code without review</w:t>
            </w:r>
          </w:p>
        </w:tc>
      </w:tr>
      <w:tr>
        <w:trPr>
          <w:cantSplit/>
        </w:trPr>
        <w:tc>
          <w:tcPr>
            <w:tcW w:type="pct" w:w="16%"/>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Operations</w:t>
            </w:r>
          </w:p>
        </w:tc>
        <w:tc>
          <w:tcPr>
            <w:tcW w:type="pct" w:w="42%"/>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Use AI for forecasting, scheduling drafts, process documentation</w:t>
            </w:r>
          </w:p>
        </w:tc>
        <w:tc>
          <w:tcPr>
            <w:tcW w:type="pct" w:w="42%"/>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Hand operational control (e.g., production schedules, inventory movements) to AI without human sign-off</w:t>
            </w:r>
          </w:p>
        </w:tc>
      </w:tr>
    </w:tbl>
    <w:p>
      <w:pPr>
        <w:pStyle w:val="Heading2"/>
        <w:spacing w:after="120" w:before="240" w:line="312"/>
      </w:pPr>
      <w:bookmarkStart w:id="100051" w:name="_Toc100051"/>
      <w:r>
        <w:rPr>
          <w:rFonts w:ascii="Calibri"/>
          <w:b/>
          <w:bCs/>
          <w:color w:val="0B1C2C"/>
          <w:sz w:val="28"/>
          <w:szCs w:val="28"/>
        </w:rPr>
        <w:t xml:space="preserve">26.4 Communication and Disclosure Norms</w:t>
      </w:r>
      <w:bookmarkEnd w:id="100051"/>
    </w:p>
    <w:p>
      <w:pPr>
        <w:spacing w:after="100" w:line="312"/>
        <w:ind w:firstLine="480"/>
        <w:jc w:val="both"/>
      </w:pPr>
      <w:r>
        <w:rPr>
          <w:rFonts w:ascii="Times New Roman"/>
          <w:color w:val="1A1A1A"/>
          <w:sz w:val="24"/>
          <w:szCs w:val="24"/>
        </w:rPr>
        <w:t xml:space="preserve">AI-generated content is increasingly difficult to distinguish from human-authored content. Organizations should establish clear norms for when and how AI involvement is disclosed, both internally and externally. The norms below are a starting point; regulated industries should overlay their specific legal requirements.</w:t>
      </w:r>
    </w:p>
    <w:p>
      <w:pPr>
        <w:pStyle w:val="ListParagraph"/>
        <w:numPr>
          <w:ilvl w:val="0"/>
          <w:numId w:val="1"/>
        </w:numPr>
        <w:spacing w:after="60" w:line="312"/>
      </w:pPr>
      <w:r>
        <w:rPr>
          <w:rFonts w:ascii="Times New Roman"/>
          <w:color w:val="1A1A1A"/>
          <w:sz w:val="24"/>
          <w:szCs w:val="24"/>
        </w:rPr>
        <w:t xml:space="preserve">Internal communications — disclose AI assistance where the recipient would otherwise assume human authorship (e.g., draft policies, executive summaries).</w:t>
      </w:r>
    </w:p>
    <w:p>
      <w:pPr>
        <w:pStyle w:val="ListParagraph"/>
        <w:numPr>
          <w:ilvl w:val="0"/>
          <w:numId w:val="1"/>
        </w:numPr>
        <w:spacing w:after="60" w:line="312"/>
      </w:pPr>
      <w:r>
        <w:rPr>
          <w:rFonts w:ascii="Times New Roman"/>
          <w:color w:val="1A1A1A"/>
          <w:sz w:val="24"/>
          <w:szCs w:val="24"/>
        </w:rPr>
        <w:t xml:space="preserve">External communications — disclose AI involvement where required by law, contract or industry code; where not required, disclose when the audience would reasonably expect a human author.</w:t>
      </w:r>
    </w:p>
    <w:p>
      <w:pPr>
        <w:pStyle w:val="ListParagraph"/>
        <w:numPr>
          <w:ilvl w:val="0"/>
          <w:numId w:val="1"/>
        </w:numPr>
        <w:spacing w:after="60" w:line="312"/>
      </w:pPr>
      <w:r>
        <w:rPr>
          <w:rFonts w:ascii="Times New Roman"/>
          <w:color w:val="1A1A1A"/>
          <w:sz w:val="24"/>
          <w:szCs w:val="24"/>
        </w:rPr>
        <w:t xml:space="preserve">Customer-facing AI — disclose when a customer is interacting with an AI system, and provide a path to a human on request.</w:t>
      </w:r>
    </w:p>
    <w:p>
      <w:pPr>
        <w:pStyle w:val="ListParagraph"/>
        <w:numPr>
          <w:ilvl w:val="0"/>
          <w:numId w:val="1"/>
        </w:numPr>
        <w:spacing w:after="60" w:line="312"/>
      </w:pPr>
      <w:r>
        <w:rPr>
          <w:rFonts w:ascii="Times New Roman"/>
          <w:color w:val="1A1A1A"/>
          <w:sz w:val="24"/>
          <w:szCs w:val="24"/>
        </w:rPr>
        <w:t xml:space="preserve">AI-assisted decisions affecting individuals — disclose the use of AI and provide a meaningful explanation, an appeal mechanism and access to a human reviewer where required by law.</w:t>
      </w:r>
    </w:p>
    <w:p>
      <w:pPr>
        <w:pStyle w:val="ListParagraph"/>
        <w:numPr>
          <w:ilvl w:val="0"/>
          <w:numId w:val="1"/>
        </w:numPr>
        <w:spacing w:after="60" w:line="312"/>
      </w:pPr>
      <w:r>
        <w:rPr>
          <w:rFonts w:ascii="Times New Roman"/>
          <w:color w:val="1A1A1A"/>
          <w:sz w:val="24"/>
          <w:szCs w:val="24"/>
        </w:rPr>
        <w:t xml:space="preserve">Synthetic media — disclose the use of AI-generated images, voice or video of real people, and obtain consent where likeness rights apply.</w:t>
      </w:r>
    </w:p>
    <w:p>
      <w:pPr>
        <w:pStyle w:val="Heading2"/>
        <w:spacing w:after="120" w:before="240" w:line="312"/>
      </w:pPr>
      <w:bookmarkStart w:id="100052" w:name="_Toc100052"/>
      <w:r>
        <w:rPr>
          <w:rFonts w:ascii="Calibri"/>
          <w:b/>
          <w:bCs/>
          <w:color w:val="0B1C2C"/>
          <w:sz w:val="28"/>
          <w:szCs w:val="28"/>
        </w:rPr>
        <w:t xml:space="preserve">26.5 Documentation and Audit Trail</w:t>
      </w:r>
      <w:bookmarkEnd w:id="100052"/>
    </w:p>
    <w:p>
      <w:pPr>
        <w:spacing w:after="100" w:line="312"/>
        <w:ind w:firstLine="480"/>
        <w:jc w:val="both"/>
      </w:pPr>
      <w:r>
        <w:rPr>
          <w:rFonts w:ascii="Times New Roman"/>
          <w:color w:val="1A1A1A"/>
          <w:sz w:val="24"/>
          <w:szCs w:val="24"/>
        </w:rPr>
        <w:t xml:space="preserve">Documentation is what separates a governed AI program from an ungoverned one. For each material use case, the organization should be able to demonstrate what AI was used, on what data, with what controls, by whom and with what outcome. The following practices deliver that evidence.</w:t>
      </w:r>
    </w:p>
    <w:p>
      <w:pPr>
        <w:pStyle w:val="ListParagraph"/>
        <w:numPr>
          <w:ilvl w:val="0"/>
          <w:numId w:val="1"/>
        </w:numPr>
        <w:spacing w:after="60" w:line="312"/>
      </w:pPr>
      <w:r>
        <w:rPr>
          <w:rFonts w:ascii="Times New Roman"/>
          <w:color w:val="1A1A1A"/>
          <w:sz w:val="24"/>
          <w:szCs w:val="24"/>
        </w:rPr>
        <w:t xml:space="preserve">Log prompts and outputs for high-risk use cases, with retention aligned to the organization's record-keeping policy.</w:t>
      </w:r>
    </w:p>
    <w:p>
      <w:pPr>
        <w:pStyle w:val="ListParagraph"/>
        <w:numPr>
          <w:ilvl w:val="0"/>
          <w:numId w:val="1"/>
        </w:numPr>
        <w:spacing w:after="60" w:line="312"/>
      </w:pPr>
      <w:r>
        <w:rPr>
          <w:rFonts w:ascii="Times New Roman"/>
          <w:color w:val="1A1A1A"/>
          <w:sz w:val="24"/>
          <w:szCs w:val="24"/>
        </w:rPr>
        <w:t xml:space="preserve">Capture the model and version used at the time of each material output, so that changes in model behavior can be traced.</w:t>
      </w:r>
    </w:p>
    <w:p>
      <w:pPr>
        <w:pStyle w:val="ListParagraph"/>
        <w:numPr>
          <w:ilvl w:val="0"/>
          <w:numId w:val="1"/>
        </w:numPr>
        <w:spacing w:after="60" w:line="312"/>
      </w:pPr>
      <w:r>
        <w:rPr>
          <w:rFonts w:ascii="Times New Roman"/>
          <w:color w:val="1A1A1A"/>
          <w:sz w:val="24"/>
          <w:szCs w:val="24"/>
        </w:rPr>
        <w:t xml:space="preserve">Record the human review and approval step for consequential decisions, including the reviewer and the timestamp.</w:t>
      </w:r>
    </w:p>
    <w:p>
      <w:pPr>
        <w:pStyle w:val="ListParagraph"/>
        <w:numPr>
          <w:ilvl w:val="0"/>
          <w:numId w:val="1"/>
        </w:numPr>
        <w:spacing w:after="60" w:line="312"/>
      </w:pPr>
      <w:r>
        <w:rPr>
          <w:rFonts w:ascii="Times New Roman"/>
          <w:color w:val="1A1A1A"/>
          <w:sz w:val="24"/>
          <w:szCs w:val="24"/>
        </w:rPr>
        <w:t xml:space="preserve">Maintain the AI Use Case Register (Section 9) as the central inventory, with periodic confirmation that each entry is still accurate.</w:t>
      </w:r>
    </w:p>
    <w:p>
      <w:pPr>
        <w:pStyle w:val="ListParagraph"/>
        <w:numPr>
          <w:ilvl w:val="0"/>
          <w:numId w:val="1"/>
        </w:numPr>
        <w:spacing w:after="60" w:line="312"/>
      </w:pPr>
      <w:r>
        <w:rPr>
          <w:rFonts w:ascii="Times New Roman"/>
          <w:color w:val="1A1A1A"/>
          <w:sz w:val="24"/>
          <w:szCs w:val="24"/>
        </w:rPr>
        <w:t xml:space="preserve">Retain vendor assessments (Section 7) for the lifetime of the relationship plus the organization's standard retention period.</w:t>
      </w:r>
    </w:p>
    <w:p>
      <w:pPr>
        <w:pStyle w:val="Heading2"/>
        <w:spacing w:after="120" w:before="240" w:line="312"/>
      </w:pPr>
      <w:bookmarkStart w:id="100053" w:name="_Toc100053"/>
      <w:r>
        <w:rPr>
          <w:rFonts w:ascii="Calibri"/>
          <w:b/>
          <w:bCs/>
          <w:color w:val="0B1C2C"/>
          <w:sz w:val="28"/>
          <w:szCs w:val="28"/>
        </w:rPr>
        <w:t xml:space="preserve">26.6 Continuous Improvement Practices</w:t>
      </w:r>
      <w:bookmarkEnd w:id="100053"/>
    </w:p>
    <w:p>
      <w:pPr>
        <w:spacing w:after="100" w:line="312"/>
        <w:ind w:firstLine="480"/>
        <w:jc w:val="both"/>
      </w:pPr>
      <w:r>
        <w:rPr>
          <w:rFonts w:ascii="Times New Roman"/>
          <w:color w:val="1A1A1A"/>
          <w:sz w:val="24"/>
          <w:szCs w:val="24"/>
        </w:rPr>
        <w:t xml:space="preserve">Governance programs degrade without active maintenance. The following practices keep the program current as tools, risks and regulations evolve.</w:t>
      </w:r>
    </w:p>
    <w:p>
      <w:pPr>
        <w:pStyle w:val="ListParagraph"/>
        <w:numPr>
          <w:ilvl w:val="0"/>
          <w:numId w:val="1"/>
        </w:numPr>
        <w:spacing w:after="60" w:line="312"/>
      </w:pPr>
      <w:r>
        <w:rPr>
          <w:rFonts w:ascii="Times New Roman"/>
          <w:color w:val="1A1A1A"/>
          <w:sz w:val="24"/>
          <w:szCs w:val="24"/>
        </w:rPr>
        <w:t xml:space="preserve">Quarterly governance retrospectives — review incidents, near-misses, policy exceptions and control failures; capture and act on lessons learned.</w:t>
      </w:r>
    </w:p>
    <w:p>
      <w:pPr>
        <w:pStyle w:val="ListParagraph"/>
        <w:numPr>
          <w:ilvl w:val="0"/>
          <w:numId w:val="1"/>
        </w:numPr>
        <w:spacing w:after="60" w:line="312"/>
      </w:pPr>
      <w:r>
        <w:rPr>
          <w:rFonts w:ascii="Times New Roman"/>
          <w:color w:val="1A1A1A"/>
          <w:sz w:val="24"/>
          <w:szCs w:val="24"/>
        </w:rPr>
        <w:t xml:space="preserve">Annual policy review — update the AI Acceptable Use Policy, the code of conduct and the department-specific guidance to reflect new tools and risks.</w:t>
      </w:r>
    </w:p>
    <w:p>
      <w:pPr>
        <w:pStyle w:val="ListParagraph"/>
        <w:numPr>
          <w:ilvl w:val="0"/>
          <w:numId w:val="1"/>
        </w:numPr>
        <w:spacing w:after="60" w:line="312"/>
      </w:pPr>
      <w:r>
        <w:rPr>
          <w:rFonts w:ascii="Times New Roman"/>
          <w:color w:val="1A1A1A"/>
          <w:sz w:val="24"/>
          <w:szCs w:val="24"/>
        </w:rPr>
        <w:t xml:space="preserve">Prompt library curation — each department reviews and refreshes its approved prompt library at least twice a year.</w:t>
      </w:r>
    </w:p>
    <w:p>
      <w:pPr>
        <w:pStyle w:val="ListParagraph"/>
        <w:numPr>
          <w:ilvl w:val="0"/>
          <w:numId w:val="1"/>
        </w:numPr>
        <w:spacing w:after="60" w:line="312"/>
      </w:pPr>
      <w:r>
        <w:rPr>
          <w:rFonts w:ascii="Times New Roman"/>
          <w:color w:val="1A1A1A"/>
          <w:sz w:val="24"/>
          <w:szCs w:val="24"/>
        </w:rPr>
        <w:t xml:space="preserve">Threat-intelligence subscription — track AI-specific threats (prompt injection campaigns, model extraction attacks, agentic AI vulnerabilities) and feed them into security monitoring.</w:t>
      </w:r>
    </w:p>
    <w:p>
      <w:pPr>
        <w:pStyle w:val="ListParagraph"/>
        <w:numPr>
          <w:ilvl w:val="0"/>
          <w:numId w:val="1"/>
        </w:numPr>
        <w:spacing w:after="60" w:line="312"/>
      </w:pPr>
      <w:r>
        <w:rPr>
          <w:rFonts w:ascii="Times New Roman"/>
          <w:color w:val="1A1A1A"/>
          <w:sz w:val="24"/>
          <w:szCs w:val="24"/>
        </w:rPr>
        <w:t xml:space="preserve">Cross-functional sharing — establish a community of practice where departments share successful patterns, lessons learned and emerging risks.</w:t>
      </w:r>
    </w:p>
    <w:p>
      <w:pPr>
        <w:pStyle w:val="Heading1"/>
        <w:spacing w:after="160" w:before="360" w:line="312"/>
      </w:pPr>
      <w:bookmarkStart w:id="100054" w:name="_Toc100054"/>
      <w:r>
        <w:rPr>
          <w:rFonts w:ascii="Calibri"/>
          <w:b/>
          <w:bCs/>
          <w:color w:val="0B1C2C"/>
          <w:sz w:val="32"/>
          <w:szCs w:val="32"/>
        </w:rPr>
        <w:t xml:space="preserve">27. Comprehensive AI Risk Management</w:t>
      </w:r>
      <w:bookmarkEnd w:id="100054"/>
    </w:p>
    <w:p>
      <w:pPr>
        <w:spacing w:after="100" w:line="312"/>
        <w:ind w:firstLine="480"/>
        <w:jc w:val="both"/>
      </w:pPr>
      <w:r>
        <w:rPr>
          <w:rFonts w:ascii="Times New Roman"/>
          <w:color w:val="1A1A1A"/>
          <w:sz w:val="24"/>
          <w:szCs w:val="24"/>
        </w:rPr>
        <w:t xml:space="preserve">AI risk management is the discipline that turns the governance framework from Section 4 into a continuous, measurable and auditable process. It builds on the risk classification introduced in Section 8 but extends it across the full risk lifecycle: identification, assessment, treatment, monitoring and reporting. This section sets out an enterprise-grade risk taxonomy, the assessment frameworks that should anchor the program, a likelihood × impact matrix, treatment options, a risk register template and the emerging risk categories that organizations should plan for over the next twenty-four months.</w:t>
      </w:r>
    </w:p>
    <w:p>
      <w:pPr>
        <w:pStyle w:val="Heading2"/>
        <w:spacing w:after="120" w:before="240" w:line="312"/>
      </w:pPr>
      <w:bookmarkStart w:id="100055" w:name="_Toc100055"/>
      <w:r>
        <w:rPr>
          <w:rFonts w:ascii="Calibri"/>
          <w:b/>
          <w:bCs/>
          <w:color w:val="0B1C2C"/>
          <w:sz w:val="28"/>
          <w:szCs w:val="28"/>
        </w:rPr>
        <w:t xml:space="preserve">27.1 Enterprise Risk Taxonomy</w:t>
      </w:r>
      <w:bookmarkEnd w:id="100055"/>
    </w:p>
    <w:p>
      <w:pPr>
        <w:spacing w:after="100" w:line="312"/>
        <w:ind w:firstLine="480"/>
        <w:jc w:val="both"/>
      </w:pPr>
      <w:r>
        <w:rPr>
          <w:rFonts w:ascii="Times New Roman"/>
          <w:color w:val="1A1A1A"/>
          <w:sz w:val="24"/>
          <w:szCs w:val="24"/>
        </w:rPr>
        <w:t xml:space="preserve">A common taxonomy is the foundation of any risk management program. The eight categories below cover the risks that AI introduces in a typical business. Each category should have an owner, an assessment method and a set of key risk indicators (KRIs).</w:t>
      </w:r>
    </w:p>
    <w:p>
      <w:pPr>
        <w:keepNext/>
        <w:spacing w:after="80" w:before="200"/>
      </w:pPr>
      <w:r>
        <w:rPr>
          <w:rFonts w:ascii="Calibri"/>
          <w:b/>
          <w:bCs/>
          <w:color w:val="0B1C2C"/>
          <w:sz w:val="22"/>
          <w:szCs w:val="22"/>
        </w:rPr>
        <w:t xml:space="preserve">Table 12. Enterprise AI Risk Taxonomy</w:t>
      </w:r>
    </w:p>
    <w:tbl>
      <w:tblPr>
        <w:tblW w:type="pct" w:w="100%"/>
        <w:tblBorders>
          <w:top w:val="single" w:color="529286" w:sz="6"/>
          <w:left w:val="none"/>
          <w:bottom w:val="single" w:color="529286" w:sz="6"/>
          <w:right w:val="none"/>
          <w:insideH w:val="single" w:color="BECFCC" w:sz="1"/>
          <w:insideV w:val="none"/>
        </w:tblBorders>
        <w:tblLayout w:type="fixed"/>
      </w:tblPr>
      <w:tblGrid>
        <w:gridCol w:w="100"/>
        <w:gridCol w:w="100"/>
        <w:gridCol w:w="100"/>
      </w:tblGrid>
      <w:tr>
        <w:trPr>
          <w:cantSplit/>
          <w:tblHeader/>
        </w:trPr>
        <w:tc>
          <w:tcPr>
            <w:tcW w:type="pct" w:w="22%"/>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Risk Category</w:t>
            </w:r>
          </w:p>
        </w:tc>
        <w:tc>
          <w:tcPr>
            <w:tcW w:type="pct" w:w="38%"/>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Description</w:t>
            </w:r>
          </w:p>
        </w:tc>
        <w:tc>
          <w:tcPr>
            <w:tcW w:type="pct" w:w="40%"/>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Example</w:t>
            </w:r>
          </w:p>
        </w:tc>
      </w:tr>
      <w:tr>
        <w:trPr>
          <w:cantSplit/>
        </w:trPr>
        <w:tc>
          <w:tcPr>
            <w:tcW w:type="pct" w:w="22%"/>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Data Risk</w:t>
            </w:r>
          </w:p>
        </w:tc>
        <w:tc>
          <w:tcPr>
            <w:tcW w:type="pct" w:w="38%"/>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Loss, leakage, corruption or unauthorized retention of data submitted to AI</w:t>
            </w:r>
          </w:p>
        </w:tc>
        <w:tc>
          <w:tcPr>
            <w:tcW w:type="pct" w:w="40%"/>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Customer database exposed to a consumer AI tool</w:t>
            </w:r>
          </w:p>
        </w:tc>
      </w:tr>
      <w:tr>
        <w:trPr>
          <w:cantSplit/>
        </w:trPr>
        <w:tc>
          <w:tcPr>
            <w:tcW w:type="pct" w:w="22%"/>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Security Risk</w:t>
            </w:r>
          </w:p>
        </w:tc>
        <w:tc>
          <w:tcPr>
            <w:tcW w:type="pct" w:w="38%"/>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Compromise of AI accounts, integrations or models; prompt injection; model extraction</w:t>
            </w:r>
          </w:p>
        </w:tc>
        <w:tc>
          <w:tcPr>
            <w:tcW w:type="pct" w:w="40%"/>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Attacker injects instructions via a public document read by an agent</w:t>
            </w:r>
          </w:p>
        </w:tc>
      </w:tr>
      <w:tr>
        <w:trPr>
          <w:cantSplit/>
        </w:trPr>
        <w:tc>
          <w:tcPr>
            <w:tcW w:type="pct" w:w="22%"/>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Privacy Risk</w:t>
            </w:r>
          </w:p>
        </w:tc>
        <w:tc>
          <w:tcPr>
            <w:tcW w:type="pct" w:w="38%"/>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Processing of personal data without lawful basis, transparency or appropriate controls</w:t>
            </w:r>
          </w:p>
        </w:tc>
        <w:tc>
          <w:tcPr>
            <w:tcW w:type="pct" w:w="40%"/>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Employee submits special-category personal data to an unapproved tool</w:t>
            </w:r>
          </w:p>
        </w:tc>
      </w:tr>
      <w:tr>
        <w:trPr>
          <w:cantSplit/>
        </w:trPr>
        <w:tc>
          <w:tcPr>
            <w:tcW w:type="pct" w:w="22%"/>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Legal / Regulatory Risk</w:t>
            </w:r>
          </w:p>
        </w:tc>
        <w:tc>
          <w:tcPr>
            <w:tcW w:type="pct" w:w="38%"/>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Non-compliance with AI, privacy, sectoral or contract law</w:t>
            </w:r>
          </w:p>
        </w:tc>
        <w:tc>
          <w:tcPr>
            <w:tcW w:type="pct" w:w="40%"/>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Use of an AI tool that does not meet EU AI Act requirements for a high-risk use case</w:t>
            </w:r>
          </w:p>
        </w:tc>
      </w:tr>
      <w:tr>
        <w:trPr>
          <w:cantSplit/>
        </w:trPr>
        <w:tc>
          <w:tcPr>
            <w:tcW w:type="pct" w:w="22%"/>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Operational Risk</w:t>
            </w:r>
          </w:p>
        </w:tc>
        <w:tc>
          <w:tcPr>
            <w:tcW w:type="pct" w:w="38%"/>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Model failure, hallucination, performance drift, integration failure, vendor outage</w:t>
            </w:r>
          </w:p>
        </w:tc>
        <w:tc>
          <w:tcPr>
            <w:tcW w:type="pct" w:w="40%"/>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AI-driven forecasting model degrades silently after a vendor model update</w:t>
            </w:r>
          </w:p>
        </w:tc>
      </w:tr>
      <w:tr>
        <w:trPr>
          <w:cantSplit/>
        </w:trPr>
        <w:tc>
          <w:tcPr>
            <w:tcW w:type="pct" w:w="22%"/>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Ethical / Bias Risk</w:t>
            </w:r>
          </w:p>
        </w:tc>
        <w:tc>
          <w:tcPr>
            <w:tcW w:type="pct" w:w="38%"/>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Unfair, discriminatory or opaque outcomes, particularly for individuals</w:t>
            </w:r>
          </w:p>
        </w:tc>
        <w:tc>
          <w:tcPr>
            <w:tcW w:type="pct" w:w="40%"/>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AI screening tool produces disparate outcomes for protected groups</w:t>
            </w:r>
          </w:p>
        </w:tc>
      </w:tr>
      <w:tr>
        <w:trPr>
          <w:cantSplit/>
        </w:trPr>
        <w:tc>
          <w:tcPr>
            <w:tcW w:type="pct" w:w="22%"/>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Financial Risk</w:t>
            </w:r>
          </w:p>
        </w:tc>
        <w:tc>
          <w:tcPr>
            <w:tcW w:type="pct" w:w="38%"/>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Direct loss, contractual liability, regulatory fines or remediation cost</w:t>
            </w:r>
          </w:p>
        </w:tc>
        <w:tc>
          <w:tcPr>
            <w:tcW w:type="pct" w:w="40%"/>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AI-assisted decision leads to a customer dispute and a contractual indemnity claim</w:t>
            </w:r>
          </w:p>
        </w:tc>
      </w:tr>
      <w:tr>
        <w:trPr>
          <w:cantSplit/>
        </w:trPr>
        <w:tc>
          <w:tcPr>
            <w:tcW w:type="pct" w:w="22%"/>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Reputational Risk</w:t>
            </w:r>
          </w:p>
        </w:tc>
        <w:tc>
          <w:tcPr>
            <w:tcW w:type="pct" w:w="38%"/>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Damage to brand, trust or stakeholder relationships from an AI incident</w:t>
            </w:r>
          </w:p>
        </w:tc>
        <w:tc>
          <w:tcPr>
            <w:tcW w:type="pct" w:w="40%"/>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Public disclosure that the organization used consumer AI tools with customer data</w:t>
            </w:r>
          </w:p>
        </w:tc>
      </w:tr>
    </w:tbl>
    <w:p>
      <w:pPr>
        <w:pStyle w:val="Heading2"/>
        <w:spacing w:after="120" w:before="240" w:line="312"/>
      </w:pPr>
      <w:bookmarkStart w:id="100056" w:name="_Toc100056"/>
      <w:r>
        <w:rPr>
          <w:rFonts w:ascii="Calibri"/>
          <w:b/>
          <w:bCs/>
          <w:color w:val="0B1C2C"/>
          <w:sz w:val="28"/>
          <w:szCs w:val="28"/>
        </w:rPr>
        <w:t xml:space="preserve">27.2 Risk Assessment Frameworks</w:t>
      </w:r>
      <w:bookmarkEnd w:id="100056"/>
    </w:p>
    <w:p>
      <w:pPr>
        <w:spacing w:after="100" w:line="312"/>
        <w:ind w:firstLine="480"/>
        <w:jc w:val="both"/>
      </w:pPr>
      <w:r>
        <w:rPr>
          <w:rFonts w:ascii="Times New Roman"/>
          <w:color w:val="1A1A1A"/>
          <w:sz w:val="24"/>
          <w:szCs w:val="24"/>
        </w:rPr>
        <w:t xml:space="preserve">Three frameworks together provide the assessment backbone for AI risk management. They are complementary rather than competing, and the most mature organizations map their controls to all three.</w:t>
      </w:r>
    </w:p>
    <w:p>
      <w:pPr>
        <w:pStyle w:val="ListParagraph"/>
        <w:numPr>
          <w:ilvl w:val="0"/>
          <w:numId w:val="1"/>
        </w:numPr>
        <w:spacing w:after="60" w:line="312"/>
      </w:pPr>
      <w:r>
        <w:rPr>
          <w:rFonts w:ascii="Times New Roman"/>
          <w:color w:val="1A1A1A"/>
          <w:sz w:val="24"/>
          <w:szCs w:val="24"/>
        </w:rPr>
        <w:t xml:space="preserve">NIST AI RMF — four functions (Govern, Map, Measure, Manage) that structure the AI risk lifecycle. The Govern function aligns with the governance committee in Section 14; Map covers risk identification; Measure covers assessment and testing; Manage covers treatment and response.</w:t>
      </w:r>
    </w:p>
    <w:p>
      <w:pPr>
        <w:pStyle w:val="ListParagraph"/>
        <w:numPr>
          <w:ilvl w:val="0"/>
          <w:numId w:val="1"/>
        </w:numPr>
        <w:spacing w:after="60" w:line="312"/>
      </w:pPr>
      <w:r>
        <w:rPr>
          <w:rFonts w:ascii="Times New Roman"/>
          <w:color w:val="1A1A1A"/>
          <w:sz w:val="24"/>
          <w:szCs w:val="24"/>
        </w:rPr>
        <w:t xml:space="preserve">ISO 31000 — the general risk management standard, providing the vocabulary, principles and process for risk identification, analysis, evaluation and treatment. Use ISO 31000 as the umbrella under which AI-specific risks are managed.</w:t>
      </w:r>
    </w:p>
    <w:p>
      <w:pPr>
        <w:pStyle w:val="ListParagraph"/>
        <w:numPr>
          <w:ilvl w:val="0"/>
          <w:numId w:val="1"/>
        </w:numPr>
        <w:spacing w:after="60" w:line="312"/>
      </w:pPr>
      <w:r>
        <w:rPr>
          <w:rFonts w:ascii="Times New Roman"/>
          <w:color w:val="1A1A1A"/>
          <w:sz w:val="24"/>
          <w:szCs w:val="24"/>
        </w:rPr>
        <w:t xml:space="preserve">ISO/IEC 23894 — the AI-specific risk management guidance that integrates with ISO 31000 and ISO/IEC 42001. It addresses AI-specific concepts such as model risk, data risk, and the trustworthiness characteristics of AI systems.</w:t>
      </w:r>
    </w:p>
    <w:p>
      <w:pPr>
        <w:pStyle w:val="Heading2"/>
        <w:spacing w:after="120" w:before="240" w:line="312"/>
      </w:pPr>
      <w:bookmarkStart w:id="100057" w:name="_Toc100057"/>
      <w:r>
        <w:rPr>
          <w:rFonts w:ascii="Calibri"/>
          <w:b/>
          <w:bCs/>
          <w:color w:val="0B1C2C"/>
          <w:sz w:val="28"/>
          <w:szCs w:val="28"/>
        </w:rPr>
        <w:t xml:space="preserve">27.3 Likelihood × Impact Matrix</w:t>
      </w:r>
      <w:bookmarkEnd w:id="100057"/>
    </w:p>
    <w:p>
      <w:pPr>
        <w:spacing w:after="100" w:line="312"/>
        <w:ind w:firstLine="480"/>
        <w:jc w:val="both"/>
      </w:pPr>
      <w:r>
        <w:rPr>
          <w:rFonts w:ascii="Times New Roman"/>
          <w:color w:val="1A1A1A"/>
          <w:sz w:val="24"/>
          <w:szCs w:val="24"/>
        </w:rPr>
        <w:t xml:space="preserve">Risks should be assessed on two dimensions: likelihood (the probability that the risk materializes over a defined period, typically twelve months) and impact (the severity of consequences if it does). The 5 × 5 matrix below is the recommended baseline; organizations may compress it to 4 × 4 or expand it to 6 × 6 based on their needs.</w:t>
      </w:r>
    </w:p>
    <w:p>
      <w:pPr>
        <w:keepNext/>
        <w:spacing w:after="80" w:before="200"/>
      </w:pPr>
      <w:r>
        <w:rPr>
          <w:rFonts w:ascii="Calibri"/>
          <w:b/>
          <w:bCs/>
          <w:color w:val="0B1C2C"/>
          <w:sz w:val="22"/>
          <w:szCs w:val="22"/>
        </w:rPr>
        <w:t xml:space="preserve">Table 13. Likelihood × Impact Risk Matrix</w:t>
      </w:r>
    </w:p>
    <w:tbl>
      <w:tblPr>
        <w:tblW w:type="pct" w:w="100%"/>
        <w:tblBorders>
          <w:top w:val="single" w:color="529286" w:sz="6"/>
          <w:left w:val="none"/>
          <w:bottom w:val="single" w:color="529286" w:sz="6"/>
          <w:right w:val="none"/>
          <w:insideH w:val="single" w:color="BECFCC" w:sz="1"/>
          <w:insideV w:val="none"/>
        </w:tblBorders>
        <w:tblLayout w:type="fixed"/>
      </w:tblPr>
      <w:tblGrid>
        <w:gridCol w:w="100"/>
        <w:gridCol w:w="100"/>
        <w:gridCol w:w="100"/>
        <w:gridCol w:w="100"/>
        <w:gridCol w:w="100"/>
        <w:gridCol w:w="100"/>
      </w:tblGrid>
      <w:tr>
        <w:trPr>
          <w:cantSplit/>
          <w:tblHeader/>
        </w:trPr>
        <w:tc>
          <w:tcPr>
            <w:tcW w:type="pct" w:w="22%"/>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Impact ↓ / Likelihood →</w:t>
            </w:r>
          </w:p>
        </w:tc>
        <w:tc>
          <w:tcPr>
            <w:tcW w:type="pct" w:w="14%"/>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1 — Rare</w:t>
            </w:r>
          </w:p>
        </w:tc>
        <w:tc>
          <w:tcPr>
            <w:tcW w:type="pct" w:w="16%"/>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2 — Unlikely</w:t>
            </w:r>
          </w:p>
        </w:tc>
        <w:tc>
          <w:tcPr>
            <w:tcW w:type="pct" w:w="16%"/>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3 — Possible</w:t>
            </w:r>
          </w:p>
        </w:tc>
        <w:tc>
          <w:tcPr>
            <w:tcW w:type="pct" w:w="16%"/>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4 — Likely</w:t>
            </w:r>
          </w:p>
        </w:tc>
        <w:tc>
          <w:tcPr>
            <w:tcW w:type="pct" w:w="16%"/>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5 — Almost Certain</w:t>
            </w:r>
          </w:p>
        </w:tc>
      </w:tr>
      <w:tr>
        <w:trPr>
          <w:cantSplit/>
        </w:trPr>
        <w:tc>
          <w:tcPr>
            <w:tcW w:type="pct" w:w="22%"/>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5 — Severe</w:t>
            </w:r>
          </w:p>
        </w:tc>
        <w:tc>
          <w:tcPr>
            <w:tcW w:type="pct" w:w="14%"/>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Medium (5)</w:t>
            </w:r>
          </w:p>
        </w:tc>
        <w:tc>
          <w:tcPr>
            <w:tcW w:type="pct" w:w="16%"/>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High (10)</w:t>
            </w:r>
          </w:p>
        </w:tc>
        <w:tc>
          <w:tcPr>
            <w:tcW w:type="pct" w:w="16%"/>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High (15)</w:t>
            </w:r>
          </w:p>
        </w:tc>
        <w:tc>
          <w:tcPr>
            <w:tcW w:type="pct" w:w="16%"/>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Critical (20)</w:t>
            </w:r>
          </w:p>
        </w:tc>
        <w:tc>
          <w:tcPr>
            <w:tcW w:type="pct" w:w="16%"/>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Critical (25)</w:t>
            </w:r>
          </w:p>
        </w:tc>
      </w:tr>
      <w:tr>
        <w:trPr>
          <w:cantSplit/>
        </w:trPr>
        <w:tc>
          <w:tcPr>
            <w:tcW w:type="pct" w:w="22%"/>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4 — Major</w:t>
            </w:r>
          </w:p>
        </w:tc>
        <w:tc>
          <w:tcPr>
            <w:tcW w:type="pct" w:w="14%"/>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Medium (4)</w:t>
            </w:r>
          </w:p>
        </w:tc>
        <w:tc>
          <w:tcPr>
            <w:tcW w:type="pct" w:w="16%"/>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Medium (8)</w:t>
            </w:r>
          </w:p>
        </w:tc>
        <w:tc>
          <w:tcPr>
            <w:tcW w:type="pct" w:w="16%"/>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High (12)</w:t>
            </w:r>
          </w:p>
        </w:tc>
        <w:tc>
          <w:tcPr>
            <w:tcW w:type="pct" w:w="16%"/>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High (16)</w:t>
            </w:r>
          </w:p>
        </w:tc>
        <w:tc>
          <w:tcPr>
            <w:tcW w:type="pct" w:w="16%"/>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Critical (20)</w:t>
            </w:r>
          </w:p>
        </w:tc>
      </w:tr>
      <w:tr>
        <w:trPr>
          <w:cantSplit/>
        </w:trPr>
        <w:tc>
          <w:tcPr>
            <w:tcW w:type="pct" w:w="22%"/>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3 — Moderate</w:t>
            </w:r>
          </w:p>
        </w:tc>
        <w:tc>
          <w:tcPr>
            <w:tcW w:type="pct" w:w="14%"/>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Low (3)</w:t>
            </w:r>
          </w:p>
        </w:tc>
        <w:tc>
          <w:tcPr>
            <w:tcW w:type="pct" w:w="16%"/>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Medium (6)</w:t>
            </w:r>
          </w:p>
        </w:tc>
        <w:tc>
          <w:tcPr>
            <w:tcW w:type="pct" w:w="16%"/>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Medium (9)</w:t>
            </w:r>
          </w:p>
        </w:tc>
        <w:tc>
          <w:tcPr>
            <w:tcW w:type="pct" w:w="16%"/>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High (12)</w:t>
            </w:r>
          </w:p>
        </w:tc>
        <w:tc>
          <w:tcPr>
            <w:tcW w:type="pct" w:w="16%"/>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High (15)</w:t>
            </w:r>
          </w:p>
        </w:tc>
      </w:tr>
      <w:tr>
        <w:trPr>
          <w:cantSplit/>
        </w:trPr>
        <w:tc>
          <w:tcPr>
            <w:tcW w:type="pct" w:w="22%"/>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2 — Minor</w:t>
            </w:r>
          </w:p>
        </w:tc>
        <w:tc>
          <w:tcPr>
            <w:tcW w:type="pct" w:w="14%"/>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Low (2)</w:t>
            </w:r>
          </w:p>
        </w:tc>
        <w:tc>
          <w:tcPr>
            <w:tcW w:type="pct" w:w="16%"/>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Low (4)</w:t>
            </w:r>
          </w:p>
        </w:tc>
        <w:tc>
          <w:tcPr>
            <w:tcW w:type="pct" w:w="16%"/>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Medium (6)</w:t>
            </w:r>
          </w:p>
        </w:tc>
        <w:tc>
          <w:tcPr>
            <w:tcW w:type="pct" w:w="16%"/>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Medium (8)</w:t>
            </w:r>
          </w:p>
        </w:tc>
        <w:tc>
          <w:tcPr>
            <w:tcW w:type="pct" w:w="16%"/>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High (10)</w:t>
            </w:r>
          </w:p>
        </w:tc>
      </w:tr>
      <w:tr>
        <w:trPr>
          <w:cantSplit/>
        </w:trPr>
        <w:tc>
          <w:tcPr>
            <w:tcW w:type="pct" w:w="22%"/>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1 — Negligible</w:t>
            </w:r>
          </w:p>
        </w:tc>
        <w:tc>
          <w:tcPr>
            <w:tcW w:type="pct" w:w="14%"/>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Low (1)</w:t>
            </w:r>
          </w:p>
        </w:tc>
        <w:tc>
          <w:tcPr>
            <w:tcW w:type="pct" w:w="16%"/>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Low (2)</w:t>
            </w:r>
          </w:p>
        </w:tc>
        <w:tc>
          <w:tcPr>
            <w:tcW w:type="pct" w:w="16%"/>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Low (3)</w:t>
            </w:r>
          </w:p>
        </w:tc>
        <w:tc>
          <w:tcPr>
            <w:tcW w:type="pct" w:w="16%"/>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Low (4)</w:t>
            </w:r>
          </w:p>
        </w:tc>
        <w:tc>
          <w:tcPr>
            <w:tcW w:type="pct" w:w="16%"/>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Medium (5)</w:t>
            </w:r>
          </w:p>
        </w:tc>
      </w:tr>
    </w:tbl>
    <w:p>
      <w:pPr>
        <w:spacing w:after="100" w:line="312"/>
        <w:ind w:firstLine="480"/>
        <w:jc w:val="both"/>
      </w:pPr>
      <w:r>
        <w:rPr>
          <w:rFonts w:ascii="Times New Roman"/>
          <w:color w:val="1A1A1A"/>
          <w:sz w:val="24"/>
          <w:szCs w:val="24"/>
        </w:rPr>
        <w:t xml:space="preserve">Risk scores drive treatment: Low (1–4) — accept and monitor; Medium (5–9) — mitigate or accept with documented rationale; High (10–15) — mitigate or transfer; Critical (16–25) — mitigate, transfer or avoid; escalate to the governance committee.</w:t>
      </w:r>
    </w:p>
    <w:p>
      <w:pPr>
        <w:pStyle w:val="Heading2"/>
        <w:spacing w:after="120" w:before="240" w:line="312"/>
      </w:pPr>
      <w:bookmarkStart w:id="100058" w:name="_Toc100058"/>
      <w:r>
        <w:rPr>
          <w:rFonts w:ascii="Calibri"/>
          <w:b/>
          <w:bCs/>
          <w:color w:val="0B1C2C"/>
          <w:sz w:val="28"/>
          <w:szCs w:val="28"/>
        </w:rPr>
        <w:t xml:space="preserve">27.4 Risk Treatment Options</w:t>
      </w:r>
      <w:bookmarkEnd w:id="100058"/>
    </w:p>
    <w:p>
      <w:pPr>
        <w:spacing w:after="100" w:line="312"/>
        <w:ind w:firstLine="480"/>
        <w:jc w:val="both"/>
      </w:pPr>
      <w:r>
        <w:rPr>
          <w:rFonts w:ascii="Times New Roman"/>
          <w:color w:val="1A1A1A"/>
          <w:sz w:val="24"/>
          <w:szCs w:val="24"/>
        </w:rPr>
        <w:t xml:space="preserve">Once a risk is assessed, one of four treatment options is selected and documented in the risk register. The choice depends on the risk tier, the cost of mitigation and the organization's risk appetite.</w:t>
      </w:r>
    </w:p>
    <w:p>
      <w:pPr>
        <w:pStyle w:val="ListParagraph"/>
        <w:numPr>
          <w:ilvl w:val="0"/>
          <w:numId w:val="1"/>
        </w:numPr>
        <w:spacing w:after="60" w:line="312"/>
      </w:pPr>
      <w:r>
        <w:rPr>
          <w:rFonts w:ascii="Times New Roman"/>
          <w:color w:val="1A1A1A"/>
          <w:sz w:val="24"/>
          <w:szCs w:val="24"/>
        </w:rPr>
        <w:t xml:space="preserve">Avoid — discontinue or do not start the activity that creates the risk (e.g., do not deploy an AI tool for a high-stakes regulatory decision).</w:t>
      </w:r>
    </w:p>
    <w:p>
      <w:pPr>
        <w:pStyle w:val="ListParagraph"/>
        <w:numPr>
          <w:ilvl w:val="0"/>
          <w:numId w:val="1"/>
        </w:numPr>
        <w:spacing w:after="60" w:line="312"/>
      </w:pPr>
      <w:r>
        <w:rPr>
          <w:rFonts w:ascii="Times New Roman"/>
          <w:color w:val="1A1A1A"/>
          <w:sz w:val="24"/>
          <w:szCs w:val="24"/>
        </w:rPr>
        <w:t xml:space="preserve">Mitigate — implement controls that reduce likelihood or impact (e.g., add prompt DLP, restrict access, require human review).</w:t>
      </w:r>
    </w:p>
    <w:p>
      <w:pPr>
        <w:pStyle w:val="ListParagraph"/>
        <w:numPr>
          <w:ilvl w:val="0"/>
          <w:numId w:val="1"/>
        </w:numPr>
        <w:spacing w:after="60" w:line="312"/>
      </w:pPr>
      <w:r>
        <w:rPr>
          <w:rFonts w:ascii="Times New Roman"/>
          <w:color w:val="1A1A1A"/>
          <w:sz w:val="24"/>
          <w:szCs w:val="24"/>
        </w:rPr>
        <w:t xml:space="preserve">Transfer — shift the risk to a third party through contract, insurance or vendor accountability (e.g., require the vendor to indemnify IP infringement claims).</w:t>
      </w:r>
    </w:p>
    <w:p>
      <w:pPr>
        <w:pStyle w:val="ListParagraph"/>
        <w:numPr>
          <w:ilvl w:val="0"/>
          <w:numId w:val="1"/>
        </w:numPr>
        <w:spacing w:after="60" w:line="312"/>
      </w:pPr>
      <w:r>
        <w:rPr>
          <w:rFonts w:ascii="Times New Roman"/>
          <w:color w:val="1A1A1A"/>
          <w:sz w:val="24"/>
          <w:szCs w:val="24"/>
        </w:rPr>
        <w:t xml:space="preserve">Accept — consciously retain the risk after determining that the cost of treatment outweighs the benefit (requires documented governance approval).</w:t>
      </w:r>
    </w:p>
    <w:p>
      <w:pPr>
        <w:pStyle w:val="Heading2"/>
        <w:spacing w:after="120" w:before="240" w:line="312"/>
      </w:pPr>
      <w:bookmarkStart w:id="100059" w:name="_Toc100059"/>
      <w:r>
        <w:rPr>
          <w:rFonts w:ascii="Calibri"/>
          <w:b/>
          <w:bCs/>
          <w:color w:val="0B1C2C"/>
          <w:sz w:val="28"/>
          <w:szCs w:val="28"/>
        </w:rPr>
        <w:t xml:space="preserve">27.5 Risk Register Template</w:t>
      </w:r>
      <w:bookmarkEnd w:id="100059"/>
    </w:p>
    <w:p>
      <w:pPr>
        <w:spacing w:after="100" w:line="312"/>
        <w:ind w:firstLine="480"/>
        <w:jc w:val="both"/>
      </w:pPr>
      <w:r>
        <w:rPr>
          <w:rFonts w:ascii="Times New Roman"/>
          <w:color w:val="1A1A1A"/>
          <w:sz w:val="24"/>
          <w:szCs w:val="24"/>
        </w:rPr>
        <w:t xml:space="preserve">The risk register is the operational artifact that records each identified AI risk, its assessment, its treatment and its owner. It should be reviewed at least quarterly by the AI Governance Lead and at least annually by the AI Governance Committee.</w:t>
      </w:r>
    </w:p>
    <w:p>
      <w:pPr>
        <w:keepNext/>
        <w:spacing w:after="80" w:before="200"/>
      </w:pPr>
      <w:r>
        <w:rPr>
          <w:rFonts w:ascii="Calibri"/>
          <w:b/>
          <w:bCs/>
          <w:color w:val="0B1C2C"/>
          <w:sz w:val="22"/>
          <w:szCs w:val="22"/>
        </w:rPr>
        <w:t xml:space="preserve">Table 14. AI Risk Register Template</w:t>
      </w:r>
    </w:p>
    <w:tbl>
      <w:tblPr>
        <w:tblW w:type="pct" w:w="100%"/>
        <w:tblBorders>
          <w:top w:val="single" w:color="529286" w:sz="6"/>
          <w:left w:val="none"/>
          <w:bottom w:val="single" w:color="529286" w:sz="6"/>
          <w:right w:val="none"/>
          <w:insideH w:val="single" w:color="BECFCC" w:sz="1"/>
          <w:insideV w:val="none"/>
        </w:tblBorders>
        <w:tblLayout w:type="fixed"/>
      </w:tblPr>
      <w:tblGrid>
        <w:gridCol w:w="100"/>
        <w:gridCol w:w="100"/>
      </w:tblGrid>
      <w:tr>
        <w:trPr>
          <w:cantSplit/>
          <w:tblHeader/>
        </w:trPr>
        <w:tc>
          <w:tcPr>
            <w:tcW w:type="pct" w:w="25%"/>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Field</w:t>
            </w:r>
          </w:p>
        </w:tc>
        <w:tc>
          <w:tcPr>
            <w:tcW w:type="pct" w:w="75%"/>
            <w:shd w:fill="0B1C2C" w:val="clear"/>
            <w:tcMar>
              <w:top w:type="dxa" w:w="80"/>
              <w:left w:type="dxa" w:w="120"/>
              <w:bottom w:type="dxa" w:w="80"/>
              <w:right w:type="dxa" w:w="120"/>
            </w:tcMar>
          </w:tcPr>
          <w:p>
            <w:pPr>
              <w:spacing w:line="276"/>
              <w:jc w:val="left"/>
            </w:pPr>
            <w:r>
              <w:rPr>
                <w:rFonts w:ascii="Calibri"/>
                <w:b/>
                <w:bCs/>
                <w:color w:val="FFFFFF"/>
                <w:sz w:val="22"/>
                <w:szCs w:val="22"/>
              </w:rPr>
              <w:t xml:space="preserve">Description</w:t>
            </w:r>
          </w:p>
        </w:tc>
      </w:tr>
      <w:tr>
        <w:trPr>
          <w:cantSplit/>
        </w:trPr>
        <w:tc>
          <w:tcPr>
            <w:tcW w:type="pct" w:w="2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Risk ID</w:t>
            </w:r>
          </w:p>
        </w:tc>
        <w:tc>
          <w:tcPr>
            <w:tcW w:type="pct" w:w="7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Unique identifier (e.g., AIR-001)</w:t>
            </w:r>
          </w:p>
        </w:tc>
      </w:tr>
      <w:tr>
        <w:trPr>
          <w:cantSplit/>
        </w:trPr>
        <w:tc>
          <w:tcPr>
            <w:tcW w:type="pct" w:w="2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Use Case / Asset</w:t>
            </w:r>
          </w:p>
        </w:tc>
        <w:tc>
          <w:tcPr>
            <w:tcW w:type="pct" w:w="7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AI use case or asset to which the risk relates</w:t>
            </w:r>
          </w:p>
        </w:tc>
      </w:tr>
      <w:tr>
        <w:trPr>
          <w:cantSplit/>
        </w:trPr>
        <w:tc>
          <w:tcPr>
            <w:tcW w:type="pct" w:w="2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Risk Category</w:t>
            </w:r>
          </w:p>
        </w:tc>
        <w:tc>
          <w:tcPr>
            <w:tcW w:type="pct" w:w="7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One of the eight categories from Table 12</w:t>
            </w:r>
          </w:p>
        </w:tc>
      </w:tr>
      <w:tr>
        <w:trPr>
          <w:cantSplit/>
        </w:trPr>
        <w:tc>
          <w:tcPr>
            <w:tcW w:type="pct" w:w="2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Description</w:t>
            </w:r>
          </w:p>
        </w:tc>
        <w:tc>
          <w:tcPr>
            <w:tcW w:type="pct" w:w="7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Concise statement of the risk, cause and potential consequence</w:t>
            </w:r>
          </w:p>
        </w:tc>
      </w:tr>
      <w:tr>
        <w:trPr>
          <w:cantSplit/>
        </w:trPr>
        <w:tc>
          <w:tcPr>
            <w:tcW w:type="pct" w:w="2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Likelihood (1–5)</w:t>
            </w:r>
          </w:p>
        </w:tc>
        <w:tc>
          <w:tcPr>
            <w:tcW w:type="pct" w:w="7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Assessed likelihood over the defined period</w:t>
            </w:r>
          </w:p>
        </w:tc>
      </w:tr>
      <w:tr>
        <w:trPr>
          <w:cantSplit/>
        </w:trPr>
        <w:tc>
          <w:tcPr>
            <w:tcW w:type="pct" w:w="2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Impact (1–5)</w:t>
            </w:r>
          </w:p>
        </w:tc>
        <w:tc>
          <w:tcPr>
            <w:tcW w:type="pct" w:w="7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Assessed impact if the risk materializes</w:t>
            </w:r>
          </w:p>
        </w:tc>
      </w:tr>
      <w:tr>
        <w:trPr>
          <w:cantSplit/>
        </w:trPr>
        <w:tc>
          <w:tcPr>
            <w:tcW w:type="pct" w:w="2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Risk Score</w:t>
            </w:r>
          </w:p>
        </w:tc>
        <w:tc>
          <w:tcPr>
            <w:tcW w:type="pct" w:w="7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Likelihood × Impact (1–25)</w:t>
            </w:r>
          </w:p>
        </w:tc>
      </w:tr>
      <w:tr>
        <w:trPr>
          <w:cantSplit/>
        </w:trPr>
        <w:tc>
          <w:tcPr>
            <w:tcW w:type="pct" w:w="2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Treatment</w:t>
            </w:r>
          </w:p>
        </w:tc>
        <w:tc>
          <w:tcPr>
            <w:tcW w:type="pct" w:w="7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Avoid / Mitigate / Transfer / Accept</w:t>
            </w:r>
          </w:p>
        </w:tc>
      </w:tr>
      <w:tr>
        <w:trPr>
          <w:cantSplit/>
        </w:trPr>
        <w:tc>
          <w:tcPr>
            <w:tcW w:type="pct" w:w="2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Controls</w:t>
            </w:r>
          </w:p>
        </w:tc>
        <w:tc>
          <w:tcPr>
            <w:tcW w:type="pct" w:w="7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Existing or planned controls that implement the treatment</w:t>
            </w:r>
          </w:p>
        </w:tc>
      </w:tr>
      <w:tr>
        <w:trPr>
          <w:cantSplit/>
        </w:trPr>
        <w:tc>
          <w:tcPr>
            <w:tcW w:type="pct" w:w="2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Owner</w:t>
            </w:r>
          </w:p>
        </w:tc>
        <w:tc>
          <w:tcPr>
            <w:tcW w:type="pct" w:w="7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Accountable individual</w:t>
            </w:r>
          </w:p>
        </w:tc>
      </w:tr>
      <w:tr>
        <w:trPr>
          <w:cantSplit/>
        </w:trPr>
        <w:tc>
          <w:tcPr>
            <w:tcW w:type="pct" w:w="2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Review Date</w:t>
            </w:r>
          </w:p>
        </w:tc>
        <w:tc>
          <w:tcPr>
            <w:tcW w:type="pct" w:w="75%"/>
            <w:shd w:fill="FFFFFF"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Next scheduled review</w:t>
            </w:r>
          </w:p>
        </w:tc>
      </w:tr>
      <w:tr>
        <w:trPr>
          <w:cantSplit/>
        </w:trPr>
        <w:tc>
          <w:tcPr>
            <w:tcW w:type="pct" w:w="2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Status</w:t>
            </w:r>
          </w:p>
        </w:tc>
        <w:tc>
          <w:tcPr>
            <w:tcW w:type="pct" w:w="75%"/>
            <w:shd w:fill="E8ECEB" w:val="clear"/>
            <w:tcMar>
              <w:top w:type="dxa" w:w="80"/>
              <w:left w:type="dxa" w:w="120"/>
              <w:bottom w:type="dxa" w:w="80"/>
              <w:right w:type="dxa" w:w="120"/>
            </w:tcMar>
          </w:tcPr>
          <w:p>
            <w:pPr>
              <w:spacing w:line="276"/>
              <w:jc w:val="left"/>
            </w:pPr>
            <w:r>
              <w:rPr>
                <w:rFonts w:ascii="Times New Roman"/>
                <w:b w:val="false"/>
                <w:bCs w:val="false"/>
                <w:color w:val="1A1A1A"/>
                <w:sz w:val="21"/>
                <w:szCs w:val="21"/>
              </w:rPr>
              <w:t xml:space="preserve">Open / Mitigated / Accepted / Closed</w:t>
            </w:r>
          </w:p>
        </w:tc>
      </w:tr>
    </w:tbl>
    <w:p>
      <w:pPr>
        <w:pStyle w:val="Heading2"/>
        <w:spacing w:after="120" w:before="240" w:line="312"/>
      </w:pPr>
      <w:bookmarkStart w:id="100060" w:name="_Toc100060"/>
      <w:r>
        <w:rPr>
          <w:rFonts w:ascii="Calibri"/>
          <w:b/>
          <w:bCs/>
          <w:color w:val="0B1C2C"/>
          <w:sz w:val="28"/>
          <w:szCs w:val="28"/>
        </w:rPr>
        <w:t xml:space="preserve">27.6 Continuous Monitoring and Key Risk Indicators</w:t>
      </w:r>
      <w:bookmarkEnd w:id="100060"/>
    </w:p>
    <w:p>
      <w:pPr>
        <w:spacing w:after="100" w:line="312"/>
        <w:ind w:firstLine="480"/>
        <w:jc w:val="both"/>
      </w:pPr>
      <w:r>
        <w:rPr>
          <w:rFonts w:ascii="Times New Roman"/>
          <w:color w:val="1A1A1A"/>
          <w:sz w:val="24"/>
          <w:szCs w:val="24"/>
        </w:rPr>
        <w:t xml:space="preserve">Risk management is a continuous process, not an annual exercise. Key Risk Indicators (KRIs) provide an early warning that a risk is increasing before it materializes. The following KRIs should be monitored as part of the governance dashboard from Section 16.</w:t>
      </w:r>
    </w:p>
    <w:p>
      <w:pPr>
        <w:pStyle w:val="ListParagraph"/>
        <w:numPr>
          <w:ilvl w:val="0"/>
          <w:numId w:val="1"/>
        </w:numPr>
        <w:spacing w:after="60" w:line="312"/>
      </w:pPr>
      <w:r>
        <w:rPr>
          <w:rFonts w:ascii="Times New Roman"/>
          <w:color w:val="1A1A1A"/>
          <w:sz w:val="24"/>
          <w:szCs w:val="24"/>
        </w:rPr>
        <w:t xml:space="preserve">Number of blocked shadow-AI attempts per week (Security Risk).</w:t>
      </w:r>
    </w:p>
    <w:p>
      <w:pPr>
        <w:pStyle w:val="ListParagraph"/>
        <w:numPr>
          <w:ilvl w:val="0"/>
          <w:numId w:val="1"/>
        </w:numPr>
        <w:spacing w:after="60" w:line="312"/>
      </w:pPr>
      <w:r>
        <w:rPr>
          <w:rFonts w:ascii="Times New Roman"/>
          <w:color w:val="1A1A1A"/>
          <w:sz w:val="24"/>
          <w:szCs w:val="24"/>
        </w:rPr>
        <w:t xml:space="preserve">Number of prompt-DLP alerts per week (Data and Security Risk).</w:t>
      </w:r>
    </w:p>
    <w:p>
      <w:pPr>
        <w:pStyle w:val="ListParagraph"/>
        <w:numPr>
          <w:ilvl w:val="0"/>
          <w:numId w:val="1"/>
        </w:numPr>
        <w:spacing w:after="60" w:line="312"/>
      </w:pPr>
      <w:r>
        <w:rPr>
          <w:rFonts w:ascii="Times New Roman"/>
          <w:color w:val="1A1A1A"/>
          <w:sz w:val="24"/>
          <w:szCs w:val="24"/>
        </w:rPr>
        <w:t xml:space="preserve">Number of overdue vendor assessments (Vendor Risk).</w:t>
      </w:r>
    </w:p>
    <w:p>
      <w:pPr>
        <w:pStyle w:val="ListParagraph"/>
        <w:numPr>
          <w:ilvl w:val="0"/>
          <w:numId w:val="1"/>
        </w:numPr>
        <w:spacing w:after="60" w:line="312"/>
      </w:pPr>
      <w:r>
        <w:rPr>
          <w:rFonts w:ascii="Times New Roman"/>
          <w:color w:val="1A1A1A"/>
          <w:sz w:val="24"/>
          <w:szCs w:val="24"/>
        </w:rPr>
        <w:t xml:space="preserve">Number of high-risk use cases pending approval (Operational Risk).</w:t>
      </w:r>
    </w:p>
    <w:p>
      <w:pPr>
        <w:pStyle w:val="ListParagraph"/>
        <w:numPr>
          <w:ilvl w:val="0"/>
          <w:numId w:val="1"/>
        </w:numPr>
        <w:spacing w:after="60" w:line="312"/>
      </w:pPr>
      <w:r>
        <w:rPr>
          <w:rFonts w:ascii="Times New Roman"/>
          <w:color w:val="1A1A1A"/>
          <w:sz w:val="24"/>
          <w:szCs w:val="24"/>
        </w:rPr>
        <w:t xml:space="preserve">Number of AI-related incidents by severity per month (all categories).</w:t>
      </w:r>
    </w:p>
    <w:p>
      <w:pPr>
        <w:pStyle w:val="ListParagraph"/>
        <w:numPr>
          <w:ilvl w:val="0"/>
          <w:numId w:val="1"/>
        </w:numPr>
        <w:spacing w:after="60" w:line="312"/>
      </w:pPr>
      <w:r>
        <w:rPr>
          <w:rFonts w:ascii="Times New Roman"/>
          <w:color w:val="1A1A1A"/>
          <w:sz w:val="24"/>
          <w:szCs w:val="24"/>
        </w:rPr>
        <w:t xml:space="preserve">Percentage of high-impact decisions with documented human review (Ethical / Legal Risk).</w:t>
      </w:r>
    </w:p>
    <w:p>
      <w:pPr>
        <w:pStyle w:val="ListParagraph"/>
        <w:numPr>
          <w:ilvl w:val="0"/>
          <w:numId w:val="1"/>
        </w:numPr>
        <w:spacing w:after="60" w:line="312"/>
      </w:pPr>
      <w:r>
        <w:rPr>
          <w:rFonts w:ascii="Times New Roman"/>
          <w:color w:val="1A1A1A"/>
          <w:sz w:val="24"/>
          <w:szCs w:val="24"/>
        </w:rPr>
        <w:t xml:space="preserve">Average time to remediate an AI incident (Operational Risk).</w:t>
      </w:r>
    </w:p>
    <w:p>
      <w:pPr>
        <w:spacing w:after="100" w:line="312"/>
        <w:ind w:firstLine="480"/>
        <w:jc w:val="both"/>
      </w:pPr>
      <w:r>
        <w:rPr>
          <w:rFonts w:ascii="Times New Roman"/>
          <w:color w:val="1A1A1A"/>
          <w:sz w:val="24"/>
          <w:szCs w:val="24"/>
        </w:rPr>
        <w:t xml:space="preserve">KRIs should be reported to the AI Governance Committee at least quarterly, with any breach of threshold escalated immediately.</w:t>
      </w:r>
    </w:p>
    <w:p>
      <w:pPr>
        <w:pStyle w:val="Heading2"/>
        <w:spacing w:after="120" w:before="240" w:line="312"/>
      </w:pPr>
      <w:bookmarkStart w:id="100061" w:name="_Toc100061"/>
      <w:r>
        <w:rPr>
          <w:rFonts w:ascii="Calibri"/>
          <w:b/>
          <w:bCs/>
          <w:color w:val="0B1C2C"/>
          <w:sz w:val="28"/>
          <w:szCs w:val="28"/>
        </w:rPr>
        <w:t xml:space="preserve">27.7 Emerging Risk Categories</w:t>
      </w:r>
      <w:bookmarkEnd w:id="100061"/>
    </w:p>
    <w:p>
      <w:pPr>
        <w:spacing w:after="100" w:line="312"/>
        <w:ind w:firstLine="480"/>
        <w:jc w:val="both"/>
      </w:pPr>
      <w:r>
        <w:rPr>
          <w:rFonts w:ascii="Times New Roman"/>
          <w:color w:val="1A1A1A"/>
          <w:sz w:val="24"/>
          <w:szCs w:val="24"/>
        </w:rPr>
        <w:t xml:space="preserve">The risk landscape will evolve rapidly as agentic AI platforms mature. The categories below should be added to the risk register over the next twenty-four months and reviewed as part of the annual policy refresh.</w:t>
      </w:r>
    </w:p>
    <w:p>
      <w:pPr>
        <w:pStyle w:val="ListParagraph"/>
        <w:numPr>
          <w:ilvl w:val="0"/>
          <w:numId w:val="1"/>
        </w:numPr>
        <w:spacing w:after="60" w:line="312"/>
      </w:pPr>
      <w:r>
        <w:rPr>
          <w:rFonts w:ascii="Times New Roman"/>
          <w:color w:val="1A1A1A"/>
          <w:sz w:val="24"/>
          <w:szCs w:val="24"/>
        </w:rPr>
        <w:t xml:space="preserve">Third-party model risk — risk arising from the use of foundation models supplied by third parties, including model updates that change behavior, deprecation of models, and model-provider incidents.</w:t>
      </w:r>
    </w:p>
    <w:p>
      <w:pPr>
        <w:pStyle w:val="ListParagraph"/>
        <w:numPr>
          <w:ilvl w:val="0"/>
          <w:numId w:val="1"/>
        </w:numPr>
        <w:spacing w:after="60" w:line="312"/>
      </w:pPr>
      <w:r>
        <w:rPr>
          <w:rFonts w:ascii="Times New Roman"/>
          <w:color w:val="1A1A1A"/>
          <w:sz w:val="24"/>
          <w:szCs w:val="24"/>
        </w:rPr>
        <w:t xml:space="preserve">Agentic AI risk — risk arising from autonomous AI agents that take actions (e.g., call APIs, send messages, modify records) with limited human review. Includes runaway actions, incorrect tool calls and accountability gaps.</w:t>
      </w:r>
    </w:p>
    <w:p>
      <w:pPr>
        <w:pStyle w:val="ListParagraph"/>
        <w:numPr>
          <w:ilvl w:val="0"/>
          <w:numId w:val="1"/>
        </w:numPr>
        <w:spacing w:after="60" w:line="312"/>
      </w:pPr>
      <w:r>
        <w:rPr>
          <w:rFonts w:ascii="Times New Roman"/>
          <w:color w:val="1A1A1A"/>
          <w:sz w:val="24"/>
          <w:szCs w:val="24"/>
        </w:rPr>
        <w:t xml:space="preserve">Supply chain AI risk — risk introduced by AI components embedded in third-party software, services or data feeds that the organization uses without explicit governance.</w:t>
      </w:r>
    </w:p>
    <w:p>
      <w:pPr>
        <w:pStyle w:val="ListParagraph"/>
        <w:numPr>
          <w:ilvl w:val="0"/>
          <w:numId w:val="1"/>
        </w:numPr>
        <w:spacing w:after="60" w:line="312"/>
      </w:pPr>
      <w:r>
        <w:rPr>
          <w:rFonts w:ascii="Times New Roman"/>
          <w:color w:val="1A1A1A"/>
          <w:sz w:val="24"/>
          <w:szCs w:val="24"/>
        </w:rPr>
        <w:t xml:space="preserve">Model provenance risk — risk arising from inability to verify the origin, training data or license of a model in use, particularly relevant for open-weight models.</w:t>
      </w:r>
    </w:p>
    <w:p>
      <w:pPr>
        <w:pStyle w:val="ListParagraph"/>
        <w:numPr>
          <w:ilvl w:val="0"/>
          <w:numId w:val="1"/>
        </w:numPr>
        <w:spacing w:after="60" w:line="312"/>
      </w:pPr>
      <w:r>
        <w:rPr>
          <w:rFonts w:ascii="Times New Roman"/>
          <w:color w:val="1A1A1A"/>
          <w:sz w:val="24"/>
          <w:szCs w:val="24"/>
        </w:rPr>
        <w:t xml:space="preserve">Geopolitical AI risk — risk arising from cross-border restrictions on AI usage, model export controls, data localization and regulatory divergence between jurisdictions.</w:t>
      </w:r>
    </w:p>
    <w:p>
      <w:pPr>
        <w:pStyle w:val="Heading1"/>
        <w:spacing w:after="160" w:before="360" w:line="312"/>
      </w:pPr>
      <w:bookmarkStart w:id="100062" w:name="_Toc100062"/>
      <w:r>
        <w:rPr>
          <w:rFonts w:ascii="Calibri"/>
          <w:b/>
          <w:bCs/>
          <w:color w:val="0B1C2C"/>
          <w:sz w:val="32"/>
          <w:szCs w:val="32"/>
        </w:rPr>
        <w:t xml:space="preserve">28. Future AI Platform Trends</w:t>
      </w:r>
      <w:bookmarkEnd w:id="100062"/>
    </w:p>
    <w:p>
      <w:pPr>
        <w:spacing w:after="100" w:line="312"/>
        <w:ind w:firstLine="480"/>
        <w:jc w:val="both"/>
      </w:pPr>
      <w:r>
        <w:rPr>
          <w:rFonts w:ascii="Times New Roman"/>
          <w:color w:val="1A1A1A"/>
          <w:sz w:val="24"/>
          <w:szCs w:val="24"/>
        </w:rPr>
        <w:t xml:space="preserve">AI platforms are evolving from passive assistants into active agents that plan, call tools and complete multi-step tasks with limited human oversight. The next twenty-four months will see this shift accelerate, driven by advances in model capability, the emergence of standardized protocols for tool integration, and the maturation of multi-agent orchestration frameworks. Governance programs that were designed for chat-style AI will not automatically extend to agentic AI; they will need to be updated to address new accountability boundaries, control surfaces and audit trails. This section describes the principal trends, the governance implications of each, and the strategic actions the organization should take to prepare.</w:t>
      </w:r>
    </w:p>
    <w:p>
      <w:pPr>
        <w:pStyle w:val="Heading2"/>
        <w:spacing w:after="120" w:before="240" w:line="312"/>
      </w:pPr>
      <w:bookmarkStart w:id="100063" w:name="_Toc100063"/>
      <w:r>
        <w:rPr>
          <w:rFonts w:ascii="Calibri"/>
          <w:b/>
          <w:bCs/>
          <w:color w:val="0B1C2C"/>
          <w:sz w:val="28"/>
          <w:szCs w:val="28"/>
        </w:rPr>
        <w:t xml:space="preserve">28.1 The Rise of Agentic AI and Autonomous Systems</w:t>
      </w:r>
      <w:bookmarkEnd w:id="100063"/>
    </w:p>
    <w:p>
      <w:pPr>
        <w:spacing w:after="100" w:line="312"/>
        <w:ind w:firstLine="480"/>
        <w:jc w:val="both"/>
      </w:pPr>
      <w:r>
        <w:rPr>
          <w:rFonts w:ascii="Times New Roman"/>
          <w:color w:val="1A1A1A"/>
          <w:sz w:val="24"/>
          <w:szCs w:val="24"/>
        </w:rPr>
        <w:t xml:space="preserve">Agentic AI refers to AI systems that can plan a sequence of actions, select and invoke tools, observe the results and adjust their plan in pursuit of a goal. Where a chat-style assistant answers a question, an agent completes a task. The autonomy spectrum ranges from human-initiated single-step actions ("draft this email") to fully autonomous long-running workflows ("monitor this market and update me weekly"). Most enterprise deployments in the next twenty-four months will sit in the middle of that spectrum: human-initiated multi-step workflows with checkpoints at consequential actions.</w:t>
      </w:r>
    </w:p>
    <w:p>
      <w:pPr>
        <w:spacing w:after="100" w:line="312"/>
        <w:ind w:firstLine="480"/>
        <w:jc w:val="both"/>
      </w:pPr>
      <w:r>
        <w:rPr>
          <w:rFonts w:ascii="Times New Roman"/>
          <w:color w:val="1A1A1A"/>
          <w:sz w:val="24"/>
          <w:szCs w:val="24"/>
        </w:rPr>
        <w:t xml:space="preserve">The governance implication is significant. Agents act, and actions have consequences. A hallucinated sentence in a chat is a quality issue; a hallucinated field in an API call that posts a journal entry, sends a customer email or modifies a production record is a business incident. Governance programs must therefore extend from prompts and outputs to actions and integrations, with explicit controls on what each agent is permitted to do, where human approval is required, and how actions are logged for later review.</w:t>
      </w:r>
    </w:p>
    <w:p>
      <w:pPr>
        <w:pStyle w:val="Heading2"/>
        <w:spacing w:after="120" w:before="240" w:line="312"/>
      </w:pPr>
      <w:bookmarkStart w:id="100064" w:name="_Toc100064"/>
      <w:r>
        <w:rPr>
          <w:rFonts w:ascii="Calibri"/>
          <w:b/>
          <w:bCs/>
          <w:color w:val="0B1C2C"/>
          <w:sz w:val="28"/>
          <w:szCs w:val="28"/>
        </w:rPr>
        <w:t xml:space="preserve">28.2 Multi-Agent Orchestration</w:t>
      </w:r>
      <w:bookmarkEnd w:id="100064"/>
    </w:p>
    <w:p>
      <w:pPr>
        <w:spacing w:after="100" w:line="312"/>
        <w:ind w:firstLine="480"/>
        <w:jc w:val="both"/>
      </w:pPr>
      <w:r>
        <w:rPr>
          <w:rFonts w:ascii="Times New Roman"/>
          <w:color w:val="1A1A1A"/>
          <w:sz w:val="24"/>
          <w:szCs w:val="24"/>
        </w:rPr>
        <w:t xml:space="preserve">Multi-agent orchestration is the practice of composing multiple specialized AI agents into a single workflow. A research agent retrieves information, an analysis agent interprets it, a drafting agent writes the report, a review agent critiques it and a publishing agent distributes it. Each agent has a defined role, a defined input and a defined output, and an orchestrator coordinates the sequence.</w:t>
      </w:r>
    </w:p>
    <w:p>
      <w:pPr>
        <w:spacing w:after="100" w:line="312"/>
        <w:ind w:firstLine="480"/>
        <w:jc w:val="both"/>
      </w:pPr>
      <w:r>
        <w:rPr>
          <w:rFonts w:ascii="Times New Roman"/>
          <w:color w:val="1A1A1A"/>
          <w:sz w:val="24"/>
          <w:szCs w:val="24"/>
        </w:rPr>
        <w:t xml:space="preserve">The governance challenge shifts from governing individual agents to governing the orchestration. Accountability becomes harder to attribute when an error in agent A propagates through agents B and C to produce a harmful action by agent D. Organizations should plan for the following controls: agent registry (each agent is named, owned and versioned), capability scoping (each agent has an explicit set of permitted tools), inter-agent message logging, and orchestration-level audit trails that reconstruct the full chain of decisions and actions.</w:t>
      </w:r>
    </w:p>
    <w:p>
      <w:pPr>
        <w:pStyle w:val="Heading2"/>
        <w:spacing w:after="120" w:before="240" w:line="312"/>
      </w:pPr>
      <w:bookmarkStart w:id="100065" w:name="_Toc100065"/>
      <w:r>
        <w:rPr>
          <w:rFonts w:ascii="Calibri"/>
          <w:b/>
          <w:bCs/>
          <w:color w:val="0B1C2C"/>
          <w:sz w:val="28"/>
          <w:szCs w:val="28"/>
        </w:rPr>
        <w:t xml:space="preserve">28.3 Model Context Protocol (MCP) and Standardized Tool Integration</w:t>
      </w:r>
      <w:bookmarkEnd w:id="100065"/>
    </w:p>
    <w:p>
      <w:pPr>
        <w:spacing w:after="100" w:line="312"/>
        <w:ind w:firstLine="480"/>
        <w:jc w:val="both"/>
      </w:pPr>
      <w:r>
        <w:rPr>
          <w:rFonts w:ascii="Times New Roman"/>
          <w:color w:val="1A1A1A"/>
          <w:sz w:val="24"/>
          <w:szCs w:val="24"/>
        </w:rPr>
        <w:t xml:space="preserve">The Model Context Protocol (MCP) is an open standard, introduced in 2024, that defines a common way for AI applications to connect to external data sources and tools. MCP servers expose data and capabilities (read a document, query a database, call an API) in a standardized interface that any MCP-compatible AI client can consume. The standard is rapidly becoming the de facto integration layer for AI platforms, in the same way that OAuth became the standard for delegated authorization.</w:t>
      </w:r>
    </w:p>
    <w:p>
      <w:pPr>
        <w:spacing w:after="100" w:line="312"/>
        <w:ind w:firstLine="480"/>
        <w:jc w:val="both"/>
      </w:pPr>
      <w:r>
        <w:rPr>
          <w:rFonts w:ascii="Times New Roman"/>
          <w:color w:val="1A1A1A"/>
          <w:sz w:val="24"/>
          <w:szCs w:val="24"/>
        </w:rPr>
        <w:t xml:space="preserve">For governance, MCP is both an opportunity and a control surface. It is an opportunity because it standardizes the integration model, which makes it possible to apply consistent controls (access control, logging, rate limiting, content filtering) across many integrations. It is a control surface because every MCP server is a potential path for data exfiltration, prompt injection or unauthorized action. Organizations should maintain an MCP server inventory, require approval for each MCP server in use, and prefer MCP servers that support standardized audit logging over those that do not.</w:t>
      </w:r>
    </w:p>
    <w:p>
      <w:pPr>
        <w:pStyle w:val="Heading2"/>
        <w:spacing w:after="120" w:before="240" w:line="312"/>
      </w:pPr>
      <w:bookmarkStart w:id="100066" w:name="_Toc100066"/>
      <w:r>
        <w:rPr>
          <w:rFonts w:ascii="Calibri"/>
          <w:b/>
          <w:bCs/>
          <w:color w:val="0B1C2C"/>
          <w:sz w:val="28"/>
          <w:szCs w:val="28"/>
        </w:rPr>
        <w:t xml:space="preserve">28.4 Tool-Use AI and Function-Calling Evolution</w:t>
      </w:r>
      <w:bookmarkEnd w:id="100066"/>
    </w:p>
    <w:p>
      <w:pPr>
        <w:spacing w:after="100" w:line="312"/>
        <w:ind w:firstLine="480"/>
        <w:jc w:val="both"/>
      </w:pPr>
      <w:r>
        <w:rPr>
          <w:rFonts w:ascii="Times New Roman"/>
          <w:color w:val="1A1A1A"/>
          <w:sz w:val="24"/>
          <w:szCs w:val="24"/>
        </w:rPr>
        <w:t xml:space="preserve">Function calling is the mechanism by which an AI model invokes an external tool with structured parameters. It is the foundation of agentic AI: without function calling, an agent cannot act. The capability is evolving rapidly along three dimensions: the reliability of parameter generation (fewer malformed calls), the breadth of supported tools (web search, code execution, file operations, API calls), and the depth of orchestration (chained calls, parallel calls, conditional branches).</w:t>
      </w:r>
    </w:p>
    <w:p>
      <w:pPr>
        <w:spacing w:after="100" w:line="312"/>
        <w:ind w:firstLine="480"/>
        <w:jc w:val="both"/>
      </w:pPr>
      <w:r>
        <w:rPr>
          <w:rFonts w:ascii="Times New Roman"/>
          <w:color w:val="1A1A1A"/>
          <w:sz w:val="24"/>
          <w:szCs w:val="24"/>
        </w:rPr>
        <w:t xml:space="preserve">The governance implications are similar to those for MCP, with an additional concern: the tools themselves. A function call to a read-only search API is low risk; a function call to a write API that posts to social media, sends an email or modifies a production system is high risk. Organizations should classify each integration by the impact of its operations (read-only, low-impact write, high-impact write) and apply approval, logging and human-review requirements accordingly. Default-deny for high-impact integrations is recommended.</w:t>
      </w:r>
    </w:p>
    <w:p>
      <w:pPr>
        <w:pStyle w:val="Heading2"/>
        <w:spacing w:after="120" w:before="240" w:line="312"/>
      </w:pPr>
      <w:bookmarkStart w:id="100067" w:name="_Toc100067"/>
      <w:r>
        <w:rPr>
          <w:rFonts w:ascii="Calibri"/>
          <w:b/>
          <w:bCs/>
          <w:color w:val="0B1C2C"/>
          <w:sz w:val="28"/>
          <w:szCs w:val="28"/>
        </w:rPr>
        <w:t xml:space="preserve">28.5 Governance Implications of Autonomous AI</w:t>
      </w:r>
      <w:bookmarkEnd w:id="100067"/>
    </w:p>
    <w:p>
      <w:pPr>
        <w:spacing w:after="100" w:line="312"/>
        <w:ind w:firstLine="480"/>
        <w:jc w:val="both"/>
      </w:pPr>
      <w:r>
        <w:rPr>
          <w:rFonts w:ascii="Times New Roman"/>
          <w:color w:val="1A1A1A"/>
          <w:sz w:val="24"/>
          <w:szCs w:val="24"/>
        </w:rPr>
        <w:t xml:space="preserve">The shift to autonomous AI surfaces governance questions that did not arise in the chat-style era. The organization must be able to answer five questions for each agentic deployment: Who authorized the agent? What is it permitted to do? Where is human approval required? What is the kill switch? Where is the audit trail? Without clear answers to all five, the deployment should not proceed.</w:t>
      </w:r>
    </w:p>
    <w:p>
      <w:pPr>
        <w:pStyle w:val="ListParagraph"/>
        <w:numPr>
          <w:ilvl w:val="0"/>
          <w:numId w:val="1"/>
        </w:numPr>
        <w:spacing w:after="60" w:line="312"/>
      </w:pPr>
      <w:r>
        <w:rPr>
          <w:rFonts w:ascii="Times New Roman"/>
          <w:color w:val="1A1A1A"/>
          <w:sz w:val="24"/>
          <w:szCs w:val="24"/>
        </w:rPr>
        <w:t xml:space="preserve">Authorization — every agent must have a named owner and an explicit authorization from the governance committee for its scope of action.</w:t>
      </w:r>
    </w:p>
    <w:p>
      <w:pPr>
        <w:pStyle w:val="ListParagraph"/>
        <w:numPr>
          <w:ilvl w:val="0"/>
          <w:numId w:val="1"/>
        </w:numPr>
        <w:spacing w:after="60" w:line="312"/>
      </w:pPr>
      <w:r>
        <w:rPr>
          <w:rFonts w:ascii="Times New Roman"/>
          <w:color w:val="1A1A1A"/>
          <w:sz w:val="24"/>
          <w:szCs w:val="24"/>
        </w:rPr>
        <w:t xml:space="preserve">Capability scoping — every agent must have an explicit, minimal set of permitted tools and APIs, enforced by the integration layer rather than by a prompt.</w:t>
      </w:r>
    </w:p>
    <w:p>
      <w:pPr>
        <w:pStyle w:val="ListParagraph"/>
        <w:numPr>
          <w:ilvl w:val="0"/>
          <w:numId w:val="1"/>
        </w:numPr>
        <w:spacing w:after="60" w:line="312"/>
      </w:pPr>
      <w:r>
        <w:rPr>
          <w:rFonts w:ascii="Times New Roman"/>
          <w:color w:val="1A1A1A"/>
          <w:sz w:val="24"/>
          <w:szCs w:val="24"/>
        </w:rPr>
        <w:t xml:space="preserve">Human checkpoints — consequential actions (financial transactions, customer communications, production changes) must require explicit human approval; the agent proposes, the human disposes.</w:t>
      </w:r>
    </w:p>
    <w:p>
      <w:pPr>
        <w:pStyle w:val="ListParagraph"/>
        <w:numPr>
          <w:ilvl w:val="0"/>
          <w:numId w:val="1"/>
        </w:numPr>
        <w:spacing w:after="60" w:line="312"/>
      </w:pPr>
      <w:r>
        <w:rPr>
          <w:rFonts w:ascii="Times New Roman"/>
          <w:color w:val="1A1A1A"/>
          <w:sz w:val="24"/>
          <w:szCs w:val="24"/>
        </w:rPr>
        <w:t xml:space="preserve">Kill switch — every agent must have a documented and tested mechanism to suspend its operation immediately, including in-flight actions.</w:t>
      </w:r>
    </w:p>
    <w:p>
      <w:pPr>
        <w:pStyle w:val="ListParagraph"/>
        <w:numPr>
          <w:ilvl w:val="0"/>
          <w:numId w:val="1"/>
        </w:numPr>
        <w:spacing w:after="60" w:line="312"/>
      </w:pPr>
      <w:r>
        <w:rPr>
          <w:rFonts w:ascii="Times New Roman"/>
          <w:color w:val="1A1A1A"/>
          <w:sz w:val="24"/>
          <w:szCs w:val="24"/>
        </w:rPr>
        <w:t xml:space="preserve">Audit trail — every action taken by an agent must be logged with sufficient detail to reconstruct what was done, why, by which agent, on whose behalf, and with what human approvals.</w:t>
      </w:r>
    </w:p>
    <w:p>
      <w:pPr>
        <w:pStyle w:val="Heading2"/>
        <w:spacing w:after="120" w:before="240" w:line="312"/>
      </w:pPr>
      <w:bookmarkStart w:id="100068" w:name="_Toc100068"/>
      <w:r>
        <w:rPr>
          <w:rFonts w:ascii="Calibri"/>
          <w:b/>
          <w:bCs/>
          <w:color w:val="0B1C2C"/>
          <w:sz w:val="28"/>
          <w:szCs w:val="28"/>
        </w:rPr>
        <w:t xml:space="preserve">28.6 Strategic Recommendations for the Next 24 Months</w:t>
      </w:r>
      <w:bookmarkEnd w:id="100068"/>
    </w:p>
    <w:p>
      <w:pPr>
        <w:spacing w:after="100" w:line="312"/>
        <w:ind w:firstLine="480"/>
        <w:jc w:val="both"/>
      </w:pPr>
      <w:r>
        <w:rPr>
          <w:rFonts w:ascii="Times New Roman"/>
          <w:color w:val="1A1A1A"/>
          <w:sz w:val="24"/>
          <w:szCs w:val="24"/>
        </w:rPr>
        <w:t xml:space="preserve">The agentic AI wave is not a future problem; it is a present one. The recommendations below should be initiated within the current planning cycle, in parallel with the operational governance program described in the earlier sections of this guide.</w:t>
      </w:r>
    </w:p>
    <w:p>
      <w:pPr>
        <w:pStyle w:val="ListParagraph"/>
        <w:numPr>
          <w:ilvl w:val="0"/>
          <w:numId w:val="1"/>
        </w:numPr>
        <w:spacing w:after="60" w:line="312"/>
      </w:pPr>
      <w:r>
        <w:rPr>
          <w:rFonts w:ascii="Times New Roman"/>
          <w:color w:val="1A1A1A"/>
          <w:sz w:val="24"/>
          <w:szCs w:val="24"/>
        </w:rPr>
        <w:t xml:space="preserve">Extend the AI Use Case Register to cover agents, with fields for permitted tools, human checkpoints and kill-switch owners.</w:t>
      </w:r>
    </w:p>
    <w:p>
      <w:pPr>
        <w:pStyle w:val="ListParagraph"/>
        <w:numPr>
          <w:ilvl w:val="0"/>
          <w:numId w:val="1"/>
        </w:numPr>
        <w:spacing w:after="60" w:line="312"/>
      </w:pPr>
      <w:r>
        <w:rPr>
          <w:rFonts w:ascii="Times New Roman"/>
          <w:color w:val="1A1A1A"/>
          <w:sz w:val="24"/>
          <w:szCs w:val="24"/>
        </w:rPr>
        <w:t xml:space="preserve">Update the AI Acceptable Use Policy to explicitly address agentic AI, including default-deny for autonomous high-impact actions.</w:t>
      </w:r>
    </w:p>
    <w:p>
      <w:pPr>
        <w:pStyle w:val="ListParagraph"/>
        <w:numPr>
          <w:ilvl w:val="0"/>
          <w:numId w:val="1"/>
        </w:numPr>
        <w:spacing w:after="60" w:line="312"/>
      </w:pPr>
      <w:r>
        <w:rPr>
          <w:rFonts w:ascii="Times New Roman"/>
          <w:color w:val="1A1A1A"/>
          <w:sz w:val="24"/>
          <w:szCs w:val="24"/>
        </w:rPr>
        <w:t xml:space="preserve">Pilot one or two agentic use cases in a controlled environment, with full instrumentation, before broader rollout; treat the pilot as a governance experiment as much as a capability experiment.</w:t>
      </w:r>
    </w:p>
    <w:p>
      <w:pPr>
        <w:pStyle w:val="ListParagraph"/>
        <w:numPr>
          <w:ilvl w:val="0"/>
          <w:numId w:val="1"/>
        </w:numPr>
        <w:spacing w:after="60" w:line="312"/>
      </w:pPr>
      <w:r>
        <w:rPr>
          <w:rFonts w:ascii="Times New Roman"/>
          <w:color w:val="1A1A1A"/>
          <w:sz w:val="24"/>
          <w:szCs w:val="24"/>
        </w:rPr>
        <w:t xml:space="preserve">Establish an integration inventory covering MCP servers, function-call endpoints and other AI tool surfaces; require approval for each.</w:t>
      </w:r>
    </w:p>
    <w:p>
      <w:pPr>
        <w:pStyle w:val="ListParagraph"/>
        <w:numPr>
          <w:ilvl w:val="0"/>
          <w:numId w:val="1"/>
        </w:numPr>
        <w:spacing w:after="60" w:line="312"/>
      </w:pPr>
      <w:r>
        <w:rPr>
          <w:rFonts w:ascii="Times New Roman"/>
          <w:color w:val="1A1A1A"/>
          <w:sz w:val="24"/>
          <w:szCs w:val="24"/>
        </w:rPr>
        <w:t xml:space="preserve">Build capability in the AI Governance Lead and security team to evaluate agent designs, including the five-question framework in Section 28.5.</w:t>
      </w:r>
    </w:p>
    <w:p>
      <w:pPr>
        <w:pStyle w:val="ListParagraph"/>
        <w:numPr>
          <w:ilvl w:val="0"/>
          <w:numId w:val="1"/>
        </w:numPr>
        <w:spacing w:after="60" w:line="312"/>
      </w:pPr>
      <w:r>
        <w:rPr>
          <w:rFonts w:ascii="Times New Roman"/>
          <w:color w:val="1A1A1A"/>
          <w:sz w:val="24"/>
          <w:szCs w:val="24"/>
        </w:rPr>
        <w:t xml:space="preserve">Engage legal and compliance early on agentic AI in regulated processes; the regulatory landscape for autonomous AI decisions is still forming and will diverge by jurisdiction.</w:t>
      </w:r>
    </w:p>
    <w:p>
      <w:pPr>
        <w:pStyle w:val="ListParagraph"/>
        <w:numPr>
          <w:ilvl w:val="0"/>
          <w:numId w:val="1"/>
        </w:numPr>
        <w:spacing w:after="60" w:line="312"/>
      </w:pPr>
      <w:r>
        <w:rPr>
          <w:rFonts w:ascii="Times New Roman"/>
          <w:color w:val="1A1A1A"/>
          <w:sz w:val="24"/>
          <w:szCs w:val="24"/>
        </w:rPr>
        <w:t xml:space="preserve">Monitor the standards landscape — ISO/IEC 42001, NIST AI RMF updates, the EU AI Act implementation and emerging agentic AI standards — and update the program as guidance matures.</w:t>
      </w:r>
    </w:p>
    <w:p>
      <w:pPr>
        <w:pStyle w:val="Heading1"/>
        <w:spacing w:after="160" w:before="360" w:line="312"/>
      </w:pPr>
      <w:bookmarkStart w:id="100069" w:name="_Toc100069"/>
      <w:r>
        <w:rPr>
          <w:rFonts w:ascii="Calibri"/>
          <w:b/>
          <w:bCs/>
          <w:color w:val="0B1C2C"/>
          <w:sz w:val="32"/>
          <w:szCs w:val="32"/>
        </w:rPr>
        <w:t xml:space="preserve">29. Executive Conclusion</w:t>
      </w:r>
      <w:bookmarkEnd w:id="100069"/>
    </w:p>
    <w:p>
      <w:pPr>
        <w:spacing w:after="100" w:line="312"/>
        <w:ind w:firstLine="480"/>
        <w:jc w:val="both"/>
      </w:pPr>
      <w:r>
        <w:rPr>
          <w:rFonts w:ascii="Times New Roman"/>
          <w:color w:val="1A1A1A"/>
          <w:sz w:val="24"/>
          <w:szCs w:val="24"/>
        </w:rPr>
        <w:t xml:space="preserve">A strong AI governance program does not exist to stop innovation. It creates a controlled environment in which employees can use AI productively while the organization manages security, privacy, compliance, quality and business risk. The pace of AI adoption will not slow down; the capability of AI platforms will continue to expand; and the regulatory environment will continue to tighten. An organization that has built a governance program on the foundations described in this guide is better positioned to absorb all three of those forces than one that has not.</w:t>
      </w:r>
    </w:p>
    <w:p>
      <w:pPr>
        <w:spacing w:after="100" w:line="312"/>
        <w:ind w:firstLine="480"/>
        <w:jc w:val="both"/>
      </w:pPr>
      <w:r>
        <w:rPr>
          <w:rFonts w:ascii="Times New Roman"/>
          <w:color w:val="1A1A1A"/>
          <w:sz w:val="24"/>
          <w:szCs w:val="24"/>
        </w:rPr>
        <w:t xml:space="preserve">A mature organization should be able to answer five questions about its AI usage at any time, with evidence:</w:t>
      </w:r>
    </w:p>
    <w:p>
      <w:pPr>
        <w:pStyle w:val="ListParagraph"/>
        <w:numPr>
          <w:ilvl w:val="0"/>
          <w:numId w:val="1"/>
        </w:numPr>
        <w:spacing w:after="60" w:line="312"/>
      </w:pPr>
      <w:r>
        <w:rPr>
          <w:rFonts w:ascii="Times New Roman"/>
          <w:color w:val="1A1A1A"/>
          <w:sz w:val="24"/>
          <w:szCs w:val="24"/>
        </w:rPr>
        <w:t xml:space="preserve">What AI are we using? — answered by the AI tool inventory and the AI Use Case Register.</w:t>
      </w:r>
    </w:p>
    <w:p>
      <w:pPr>
        <w:pStyle w:val="ListParagraph"/>
        <w:numPr>
          <w:ilvl w:val="0"/>
          <w:numId w:val="1"/>
        </w:numPr>
        <w:spacing w:after="60" w:line="312"/>
      </w:pPr>
      <w:r>
        <w:rPr>
          <w:rFonts w:ascii="Times New Roman"/>
          <w:color w:val="1A1A1A"/>
          <w:sz w:val="24"/>
          <w:szCs w:val="24"/>
        </w:rPr>
        <w:t xml:space="preserve">Why are we using it? — answered by the business justification captured for each use case.</w:t>
      </w:r>
    </w:p>
    <w:p>
      <w:pPr>
        <w:pStyle w:val="ListParagraph"/>
        <w:numPr>
          <w:ilvl w:val="0"/>
          <w:numId w:val="1"/>
        </w:numPr>
        <w:spacing w:after="60" w:line="312"/>
      </w:pPr>
      <w:r>
        <w:rPr>
          <w:rFonts w:ascii="Times New Roman"/>
          <w:color w:val="1A1A1A"/>
          <w:sz w:val="24"/>
          <w:szCs w:val="24"/>
        </w:rPr>
        <w:t xml:space="preserve">What risks does it create? — answered by the enterprise risk taxonomy and the risk register.</w:t>
      </w:r>
    </w:p>
    <w:p>
      <w:pPr>
        <w:pStyle w:val="ListParagraph"/>
        <w:numPr>
          <w:ilvl w:val="0"/>
          <w:numId w:val="1"/>
        </w:numPr>
        <w:spacing w:after="60" w:line="312"/>
      </w:pPr>
      <w:r>
        <w:rPr>
          <w:rFonts w:ascii="Times New Roman"/>
          <w:color w:val="1A1A1A"/>
          <w:sz w:val="24"/>
          <w:szCs w:val="24"/>
        </w:rPr>
        <w:t xml:space="preserve">How do we control those risks? — answered by the policy, controls, security tooling and human oversight defined in Sections 5 through 16.</w:t>
      </w:r>
    </w:p>
    <w:p>
      <w:pPr>
        <w:pStyle w:val="ListParagraph"/>
        <w:numPr>
          <w:ilvl w:val="0"/>
          <w:numId w:val="1"/>
        </w:numPr>
        <w:spacing w:after="60" w:line="312"/>
      </w:pPr>
      <w:r>
        <w:rPr>
          <w:rFonts w:ascii="Times New Roman"/>
          <w:color w:val="1A1A1A"/>
          <w:sz w:val="24"/>
          <w:szCs w:val="24"/>
        </w:rPr>
        <w:t xml:space="preserve">Is AI creating value? — answered by the KPIs, the monitoring dashboard and the periodic value review.</w:t>
      </w:r>
    </w:p>
    <w:p>
      <w:pPr>
        <w:spacing w:after="100" w:line="312"/>
        <w:ind w:firstLine="480"/>
        <w:jc w:val="both"/>
      </w:pPr>
      <w:r>
        <w:rPr>
          <w:rFonts w:ascii="Times New Roman"/>
          <w:color w:val="1A1A1A"/>
          <w:sz w:val="24"/>
          <w:szCs w:val="24"/>
        </w:rPr>
        <w:t xml:space="preserve">The three new sections added in this revised edition — operational best practices (Section 26), enterprise-grade risk management (Section 27) and future AI platform trends (Section 28) — extend the program from a baseline of controlled AI usage to a mature, measurable and forward-looking discipline. Together with the existing twenty-five sections, they provide a complete operating model for AI governance that is suitable for the current generation of AI platforms and ready for the agentic AI platforms that are now arriving.</w:t>
      </w:r>
    </w:p>
    <w:p>
      <w:pPr>
        <w:spacing w:after="160" w:before="160" w:line="312"/>
        <w:jc w:val="center"/>
      </w:pPr>
      <w:r>
        <w:rPr>
          <w:rFonts w:ascii="Times New Roman"/>
          <w:i/>
          <w:iCs/>
          <w:color w:val="529286"/>
          <w:sz w:val="24"/>
          <w:szCs w:val="24"/>
        </w:rPr>
        <w:t xml:space="preserve">AI Governance = Enable Innovation + Protect the Business</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olor w:val="808080"/>
        <w:sz w:val="18"/>
        <w:szCs w:val="18"/>
      </w:rPr>
      <w:t xml:space="preserve">AI Governance — Corporate Training &amp; Implementation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olor w:val="808080"/>
        <w:sz w:val="18"/>
        <w:szCs w:val="18"/>
      </w:rPr>
      <w:t xml:space="preserve">AI Governance — Corporate Training &amp;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1A1A1A"/>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b/>
      <w:bCs/>
      <w:color w:val="0B1C2C"/>
      <w:sz w:val="32"/>
      <w:szCs w:val="32"/>
    </w:rPr>
  </w:style>
  <w:style w:type="paragraph" w:styleId="Heading2">
    <w:name w:val="Heading 2"/>
    <w:basedOn w:val="Normal"/>
    <w:next w:val="Normal"/>
    <w:qFormat/>
    <w:pPr>
      <w:spacing w:after="120" w:before="240" w:line="312"/>
      <w:outlineLvl w:val="1"/>
    </w:pPr>
    <w:rPr>
      <w:rFonts w:ascii="Calibri"/>
      <w:b/>
      <w:bCs/>
      <w:color w:val="0B1C2C"/>
      <w:sz w:val="28"/>
      <w:szCs w:val="28"/>
    </w:rPr>
  </w:style>
  <w:style w:type="paragraph" w:styleId="Heading3">
    <w:name w:val="Heading 3"/>
    <w:basedOn w:val="Normal"/>
    <w:next w:val="Normal"/>
    <w:qFormat/>
    <w:pPr>
      <w:spacing w:after="100" w:before="200" w:line="312"/>
      <w:outlineLvl w:val="2"/>
    </w:pPr>
    <w:rPr>
      <w:rFonts w:ascii="Calibri"/>
      <w:b/>
      <w:bCs/>
      <w:color w:val="0B1C2C"/>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2026-09-18T11:06:32.181Z</dcterms:created>
  <dcterms:modified xsi:type="dcterms:W3CDTF">2026-09-18T11:06:32.181Z</dcterms:modified>
</cp:coreProperties>
</file>

<file path=docProps/custom.xml><?xml version="1.0" encoding="utf-8"?>
<Properties xmlns="http://schemas.openxmlformats.org/officeDocument/2006/custom-properties" xmlns:vt="http://schemas.openxmlformats.org/officeDocument/2006/docPropsVTypes"/>
</file>