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 is no longer a distant threat; it is a reality that is already reshaping ecosystems, economies, and communities. Rising global temperatures have caused the melting of polar ice caps, sea-level rise, and extreme weather events such as hurricanes, droughts, and floods. These events not only endanger human lives but also disrupt food security and water availability.</w:t>
        <w:br/>
        <w:br/>
        <w:t>Global cooperation is essential to tackle this crisis. Countries must commit to reducing carbon emissions, investing in renewable energy, and enforcing sustainable agricultural practices. On an individual level, lifestyle changes such as reducing waste, conserving energy, and supporting eco-friendly initiatives can make a difference.</w:t>
        <w:br/>
        <w:br/>
        <w:t>The urgency of addressing climate change lies in the fact that the longer humanity delays action, the more difficult and costly it will be to reverse the damage. The fight against climate change is not only an environmental concern but also a moral responsibility to safeguard the planet for future generations.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