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privatemind-gmbh-businessplan"/>
    <w:p>
      <w:pPr>
        <w:pStyle w:val="Heading1"/>
      </w:pPr>
      <w:r>
        <w:t xml:space="preserve">PrivateMind GmbH — Businessplan</w:t>
      </w:r>
    </w:p>
    <w:p>
      <w:pPr>
        <w:pStyle w:val="FirstParagraph"/>
      </w:pPr>
      <w:r>
        <w:rPr>
          <w:i/>
          <w:iCs/>
        </w:rPr>
        <w:t xml:space="preserve">Version 2.0 — Internes Steuerungsdokument, Stand: April 2026</w:t>
      </w:r>
      <w:r>
        <w:t xml:space="preserve"> </w:t>
      </w:r>
      <w:r>
        <w:rPr>
          <w:i/>
          <w:iCs/>
        </w:rPr>
        <w:t xml:space="preserve">Erstellt von: Raffael Reichelt (Gründer)</w:t>
      </w:r>
    </w:p>
    <w:p>
      <w:pPr>
        <w:pStyle w:val="BlockText"/>
      </w:pPr>
      <w:r>
        <w:rPr>
          <w:b/>
          <w:bCs/>
        </w:rPr>
        <w:t xml:space="preserve">Hinweis zur Nutzung:</w:t>
      </w:r>
      <w:r>
        <w:t xml:space="preserve"> </w:t>
      </w:r>
      <w:r>
        <w:t xml:space="preserve">Dieses Dokument dient als internes Steuerungsinstrument. Es enthält operative Ziele, Entscheidungsgrundlagen und Planungsannahmen, die regelmäßig überprüft und aktualisiert werden. Zahlen sind Planwerte auf Basis verfügbarer Marktdaten (Stand April 2026) und müssen durch Steuerberater und Rechtsanwalt validiert werden.</w:t>
      </w:r>
    </w:p>
    <w:p>
      <w:r>
        <w:pict>
          <v:rect style="width:0;height:1.5pt" o:hralign="center" o:hrstd="t" o:hr="t"/>
        </w:pict>
      </w:r>
    </w:p>
    <w:bookmarkStart w:id="9" w:name="inhaltsverzeichnis"/>
    <w:p>
      <w:pPr>
        <w:pStyle w:val="Heading2"/>
      </w:pPr>
      <w:r>
        <w:t xml:space="preserve">Inhaltsverzeichnis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40ac4de0dde5d138a97f66e0227abea32e0f7ba">
        <w:r>
          <w:rPr>
            <w:rStyle w:val="Hyperlink"/>
          </w:rPr>
          <w:t xml:space="preserve">Problem &amp; Marktchance</w:t>
        </w:r>
      </w:hyperlink>
    </w:p>
    <w:p>
      <w:pPr>
        <w:pStyle w:val="Compact"/>
        <w:numPr>
          <w:ilvl w:val="0"/>
          <w:numId w:val="1001"/>
        </w:numPr>
      </w:pPr>
      <w:hyperlink w:anchor="X297d828c14c46585a47d8e74cd9ff98fb4fb2f2">
        <w:r>
          <w:rPr>
            <w:rStyle w:val="Hyperlink"/>
          </w:rPr>
          <w:t xml:space="preserve">Marktanalyse</w:t>
        </w:r>
      </w:hyperlink>
    </w:p>
    <w:p>
      <w:pPr>
        <w:pStyle w:val="Compact"/>
        <w:numPr>
          <w:ilvl w:val="0"/>
          <w:numId w:val="1001"/>
        </w:numPr>
      </w:pPr>
      <w:hyperlink w:anchor="X5c10bad05a18f2f423657bc29776d574e43d41d">
        <w:r>
          <w:rPr>
            <w:rStyle w:val="Hyperlink"/>
          </w:rPr>
          <w:t xml:space="preserve">Produkt &amp; Dienstleistung</w:t>
        </w:r>
      </w:hyperlink>
    </w:p>
    <w:p>
      <w:pPr>
        <w:pStyle w:val="Compact"/>
        <w:numPr>
          <w:ilvl w:val="0"/>
          <w:numId w:val="1001"/>
        </w:numPr>
      </w:pPr>
      <w:hyperlink w:anchor="Xa6375d51358b637f78a1bc3572666d566e7af78">
        <w:r>
          <w:rPr>
            <w:rStyle w:val="Hyperlink"/>
          </w:rPr>
          <w:t xml:space="preserve">Geschäftsmodell &amp; Preisgestaltung</w:t>
        </w:r>
      </w:hyperlink>
    </w:p>
    <w:p>
      <w:pPr>
        <w:pStyle w:val="Compact"/>
        <w:numPr>
          <w:ilvl w:val="0"/>
          <w:numId w:val="1001"/>
        </w:numPr>
      </w:pPr>
      <w:hyperlink w:anchor="Xa72e5456c060280828ebc55030783c6cab83d72">
        <w:r>
          <w:rPr>
            <w:rStyle w:val="Hyperlink"/>
          </w:rPr>
          <w:t xml:space="preserve">Marketing &amp; Vertrieb</w:t>
        </w:r>
      </w:hyperlink>
    </w:p>
    <w:p>
      <w:pPr>
        <w:pStyle w:val="Compact"/>
        <w:numPr>
          <w:ilvl w:val="0"/>
          <w:numId w:val="1001"/>
        </w:numPr>
      </w:pPr>
      <w:hyperlink w:anchor="X5465807190bbe800478016e596f411e84e85d94">
        <w:r>
          <w:rPr>
            <w:rStyle w:val="Hyperlink"/>
          </w:rPr>
          <w:t xml:space="preserve">Organisation &amp; Aufbau</w:t>
        </w:r>
      </w:hyperlink>
    </w:p>
    <w:p>
      <w:pPr>
        <w:pStyle w:val="Compact"/>
        <w:numPr>
          <w:ilvl w:val="0"/>
          <w:numId w:val="1001"/>
        </w:numPr>
      </w:pPr>
      <w:hyperlink w:anchor="X361e5835413cd3b4a4d0e01f007535a440ee9d1">
        <w:r>
          <w:rPr>
            <w:rStyle w:val="Hyperlink"/>
          </w:rPr>
          <w:t xml:space="preserve">Finanzplanung</w:t>
        </w:r>
      </w:hyperlink>
    </w:p>
    <w:p>
      <w:pPr>
        <w:pStyle w:val="Compact"/>
        <w:numPr>
          <w:ilvl w:val="0"/>
          <w:numId w:val="1001"/>
        </w:numPr>
      </w:pPr>
      <w:hyperlink w:anchor="X35ba2a12befd9904160219813b2ce9e0bcbe9d7">
        <w:r>
          <w:rPr>
            <w:rStyle w:val="Hyperlink"/>
          </w:rPr>
          <w:t xml:space="preserve">Risikoanalyse</w:t>
        </w:r>
      </w:hyperlink>
    </w:p>
    <w:p>
      <w:pPr>
        <w:pStyle w:val="Compact"/>
        <w:numPr>
          <w:ilvl w:val="0"/>
          <w:numId w:val="1001"/>
        </w:numPr>
      </w:pPr>
      <w:hyperlink w:anchor="X03585735f750c2e5e0e4054946882059596a317">
        <w:r>
          <w:rPr>
            <w:rStyle w:val="Hyperlink"/>
          </w:rPr>
          <w:t xml:space="preserve">Meilensteine &amp; Zeitplan</w:t>
        </w:r>
      </w:hyperlink>
    </w:p>
    <w:p>
      <w:pPr>
        <w:pStyle w:val="Compact"/>
        <w:numPr>
          <w:ilvl w:val="0"/>
          <w:numId w:val="1001"/>
        </w:numPr>
      </w:pPr>
      <w:hyperlink w:anchor="X7560174c7b0021e1beb36f4ababc53c4f9234bf">
        <w:r>
          <w:rPr>
            <w:rStyle w:val="Hyperlink"/>
          </w:rPr>
          <w:t xml:space="preserve">Fördermöglichkeiten</w:t>
        </w:r>
      </w:hyperlink>
    </w:p>
    <w:p>
      <w:pPr>
        <w:pStyle w:val="Compact"/>
        <w:numPr>
          <w:ilvl w:val="0"/>
          <w:numId w:val="1001"/>
        </w:numPr>
      </w:pPr>
      <w:hyperlink w:anchor="X734fc7e3505dccd858f40be76ab5e0556ee2246">
        <w:r>
          <w:rPr>
            <w:rStyle w:val="Hyperlink"/>
          </w:rPr>
          <w:t xml:space="preserve">Offene Punkte &amp; Nächste Schritte</w:t>
        </w:r>
      </w:hyperlink>
    </w:p>
    <w:p>
      <w:pPr>
        <w:pStyle w:val="Compact"/>
        <w:numPr>
          <w:ilvl w:val="0"/>
          <w:numId w:val="1002"/>
        </w:numPr>
      </w:pPr>
      <w:hyperlink w:anchor="anhang">
        <w:r>
          <w:rPr>
            <w:rStyle w:val="Hyperlink"/>
          </w:rPr>
          <w:t xml:space="preserve">Anhang</w:t>
        </w:r>
      </w:hyperlink>
    </w:p>
    <w:p>
      <w:r>
        <w:pict>
          <v:rect style="width:0;height:1.5pt" o:hralign="center" o:hrstd="t" o:hr="t"/>
        </w:pict>
      </w:r>
    </w:p>
    <w:bookmarkEnd w:id="9"/>
    <w:bookmarkStart w:id="16" w:name="executive-summary"/>
    <w:p>
      <w:pPr>
        <w:pStyle w:val="Heading2"/>
      </w:pPr>
      <w:r>
        <w:t xml:space="preserve">1. Executive Summary</w:t>
      </w:r>
    </w:p>
    <w:bookmarkStart w:id="10" w:name="das-unternehmen"/>
    <w:p>
      <w:pPr>
        <w:pStyle w:val="Heading3"/>
      </w:pPr>
      <w:r>
        <w:t xml:space="preserve">Das Unternehmen</w:t>
      </w:r>
    </w:p>
    <w:p>
      <w:pPr>
        <w:pStyle w:val="FirstParagraph"/>
      </w:pPr>
      <w:r>
        <w:rPr>
          <w:b/>
          <w:bCs/>
        </w:rPr>
        <w:t xml:space="preserve">PrivateMind GmbH</w:t>
      </w:r>
      <w:r>
        <w:t xml:space="preserve"> </w:t>
      </w:r>
      <w:r>
        <w:t xml:space="preserve">bringt leistungsfähige KI-Infrastruktur dorthin, wo sie für europäische Unternehmen hingehört: ins eigene Haus. Als schlüsselfertige Appliance, die lokal läuft, Daten im Unternehmen hält und ohne Cloud-Abhängigkeit funktioniert.</w:t>
      </w:r>
    </w:p>
    <w:p>
      <w:pPr>
        <w:pStyle w:val="BodyText"/>
      </w:pPr>
      <w:r>
        <w:rPr>
          <w:b/>
          <w:bCs/>
        </w:rPr>
        <w:t xml:space="preserve">Rechtsform:</w:t>
      </w:r>
      <w:r>
        <w:t xml:space="preserve"> </w:t>
      </w:r>
      <w:r>
        <w:t xml:space="preserve">GmbH (in Gründung)</w:t>
      </w:r>
      <w:r>
        <w:t xml:space="preserve"> </w:t>
      </w:r>
      <w:r>
        <w:rPr>
          <w:b/>
          <w:bCs/>
        </w:rPr>
        <w:t xml:space="preserve">Sitz:</w:t>
      </w:r>
      <w:r>
        <w:t xml:space="preserve"> </w:t>
      </w:r>
      <w:r>
        <w:t xml:space="preserve">Dresden, Sachsen, Deutschland</w:t>
      </w:r>
      <w:r>
        <w:t xml:space="preserve"> </w:t>
      </w:r>
      <w:r>
        <w:rPr>
          <w:b/>
          <w:bCs/>
        </w:rPr>
        <w:t xml:space="preserve">Gründer:</w:t>
      </w:r>
      <w:r>
        <w:t xml:space="preserve"> </w:t>
      </w:r>
      <w:r>
        <w:t xml:space="preserve">Raffael Reichelt — Softwareentwickler mit jahrzehntelanger Praxiserfahrung in der IT-Branche</w:t>
      </w:r>
      <w:r>
        <w:t xml:space="preserve"> </w:t>
      </w:r>
      <w:r>
        <w:rPr>
          <w:b/>
          <w:bCs/>
        </w:rPr>
        <w:t xml:space="preserve">Zielmarkt:</w:t>
      </w:r>
      <w:r>
        <w:t xml:space="preserve"> </w:t>
      </w:r>
      <w:r>
        <w:t xml:space="preserve">KMU in Europa, 10–250 Mitarbeiter, primär DACH, Niederlande, Nordics, UK</w:t>
      </w:r>
      <w:r>
        <w:t xml:space="preserve"> </w:t>
      </w:r>
      <w:r>
        <w:rPr>
          <w:b/>
          <w:bCs/>
        </w:rPr>
        <w:t xml:space="preserve">Sprache (extern):</w:t>
      </w:r>
      <w:r>
        <w:t xml:space="preserve"> </w:t>
      </w:r>
      <w:r>
        <w:t xml:space="preserve">Englisch als primäre Geschäftssprache</w:t>
      </w:r>
    </w:p>
    <w:bookmarkEnd w:id="10"/>
    <w:bookmarkStart w:id="11" w:name="das-angebot"/>
    <w:p>
      <w:pPr>
        <w:pStyle w:val="Heading3"/>
      </w:pPr>
      <w:r>
        <w:t xml:space="preserve">Das Angebot</w:t>
      </w:r>
    </w:p>
    <w:p>
      <w:pPr>
        <w:pStyle w:val="FirstParagraph"/>
      </w:pPr>
      <w:r>
        <w:t xml:space="preserve">PrivateMind liefert eine vollständige KI-Lösung aus einer Hand:</w:t>
      </w:r>
    </w:p>
    <w:p>
      <w:pPr>
        <w:pStyle w:val="Compact"/>
        <w:numPr>
          <w:ilvl w:val="0"/>
          <w:numId w:val="1003"/>
        </w:numPr>
      </w:pPr>
      <w:r>
        <w:rPr>
          <w:b/>
          <w:bCs/>
        </w:rPr>
        <w:t xml:space="preserve">Hardware:</w:t>
      </w:r>
      <w:r>
        <w:t xml:space="preserve"> </w:t>
      </w:r>
      <w:r>
        <w:t xml:space="preserve">Vorkonfigurierte KI-Appliance auf Basis des NVIDIA GB10 Grace Blackwell Superchips (ASUS Ascent GX10) — leistungsstärkstes Kompaktsystem für lokale LLM-Inferenz auf dem Markt</w:t>
      </w:r>
    </w:p>
    <w:p>
      <w:pPr>
        <w:pStyle w:val="Compact"/>
        <w:numPr>
          <w:ilvl w:val="0"/>
          <w:numId w:val="1003"/>
        </w:numPr>
      </w:pPr>
      <w:r>
        <w:rPr>
          <w:b/>
          <w:bCs/>
        </w:rPr>
        <w:t xml:space="preserve">Software:</w:t>
      </w:r>
      <w:r>
        <w:t xml:space="preserve"> </w:t>
      </w:r>
      <w:r>
        <w:t xml:space="preserve">Eigenentwickeltes Dashboard, vorinstallierter NVIDIA-Stack, kuratierte LLM-Auswahl, RAG-Integration</w:t>
      </w:r>
    </w:p>
    <w:p>
      <w:pPr>
        <w:pStyle w:val="Compact"/>
        <w:numPr>
          <w:ilvl w:val="0"/>
          <w:numId w:val="1003"/>
        </w:numPr>
      </w:pPr>
      <w:r>
        <w:rPr>
          <w:b/>
          <w:bCs/>
        </w:rPr>
        <w:t xml:space="preserve">Service:</w:t>
      </w:r>
      <w:r>
        <w:t xml:space="preserve"> </w:t>
      </w:r>
      <w:r>
        <w:t xml:space="preserve">Einrichtung, Konfiguration, laufende Updates, technischer Support — alles inklusive im Abo</w:t>
      </w:r>
    </w:p>
    <w:bookmarkEnd w:id="11"/>
    <w:bookmarkStart w:id="12" w:name="die-kernthese"/>
    <w:p>
      <w:pPr>
        <w:pStyle w:val="Heading3"/>
      </w:pPr>
      <w:r>
        <w:t xml:space="preserve">Die Kernthese</w:t>
      </w:r>
    </w:p>
    <w:p>
      <w:pPr>
        <w:pStyle w:val="FirstParagraph"/>
      </w:pPr>
      <w:r>
        <w:t xml:space="preserve">Europäische KMU brauchen KI, dürfen aber ihre Daten nicht in die Cloud geben. Bestehende Lösungen sind entweder unsicher (Cloud), zu komplex (Open-Source-Tools) oder zu teuer (Enterprise-Systeme). PrivateMind schließt diese Lücke als</w:t>
      </w:r>
      <w:r>
        <w:t xml:space="preserve"> </w:t>
      </w:r>
      <w:r>
        <w:rPr>
          <w:b/>
          <w:bCs/>
        </w:rPr>
        <w:t xml:space="preserve">“KI-Abteilung as a Service”</w:t>
      </w:r>
      <w:r>
        <w:t xml:space="preserve"> </w:t>
      </w:r>
      <w:r>
        <w:t xml:space="preserve">— das erste Komplettangebot für DSGVO-konforme, lokal betriebene KI ohne IT-Expertise auf Kundenseite.</w:t>
      </w:r>
    </w:p>
    <w:bookmarkEnd w:id="12"/>
    <w:bookmarkStart w:id="13" w:name="geschäftsmodell"/>
    <w:p>
      <w:pPr>
        <w:pStyle w:val="Heading3"/>
      </w:pPr>
      <w:r>
        <w:t xml:space="preserve">Geschäftsmodell</w:t>
      </w:r>
    </w:p>
    <w:p>
      <w:pPr>
        <w:pStyle w:val="FirstParagraph"/>
      </w:pPr>
      <w:r>
        <w:t xml:space="preserve">Drei Hardware-Stufen (Standard / Professional / Premium) kombiniert mit einem gestaffelten monatlichen Service-Abo (€149–€999/Monat). Alternativ: All-Inclusive-Bundles (€299–€999/Monat, 36 Monate). Der strategische Wert liegt in den wiederkehrenden Abo-Einnahmen.</w:t>
      </w:r>
    </w:p>
    <w:bookmarkEnd w:id="13"/>
    <w:bookmarkStart w:id="14" w:name="finanzieller-ausblick-planwerte"/>
    <w:p>
      <w:pPr>
        <w:pStyle w:val="Heading3"/>
      </w:pPr>
      <w:r>
        <w:t xml:space="preserve">Finanzieller Ausblick (Planwerte)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Kennzahl</w:t>
            </w:r>
          </w:p>
        </w:tc>
        <w:tc>
          <w:tcPr/>
          <w:p>
            <w:pPr>
              <w:pStyle w:val="Compact"/>
            </w:pPr>
            <w:r>
              <w:t xml:space="preserve">Jahr 1</w:t>
            </w:r>
          </w:p>
        </w:tc>
        <w:tc>
          <w:tcPr/>
          <w:p>
            <w:pPr>
              <w:pStyle w:val="Compact"/>
            </w:pPr>
            <w:r>
              <w:t xml:space="preserve">Jahr 2</w:t>
            </w:r>
          </w:p>
        </w:tc>
        <w:tc>
          <w:tcPr/>
          <w:p>
            <w:pPr>
              <w:pStyle w:val="Compact"/>
            </w:pPr>
            <w:r>
              <w:t xml:space="preserve">Jahr 3</w:t>
            </w:r>
          </w:p>
        </w:tc>
      </w:tr>
      <w:tr>
        <w:tc>
          <w:tcPr/>
          <w:p>
            <w:pPr>
              <w:pStyle w:val="Compact"/>
            </w:pPr>
            <w:r>
              <w:t xml:space="preserve">Kunden (kumuliert, konservativ)</w:t>
            </w:r>
          </w:p>
        </w:tc>
        <w:tc>
          <w:tcPr/>
          <w:p>
            <w:pPr>
              <w:pStyle w:val="Compact"/>
            </w:pPr>
            <w:r>
              <w:t xml:space="preserve">10</w:t>
            </w:r>
          </w:p>
        </w:tc>
        <w:tc>
          <w:tcPr/>
          <w:p>
            <w:pPr>
              <w:pStyle w:val="Compact"/>
            </w:pPr>
            <w:r>
              <w:t xml:space="preserve">30</w:t>
            </w:r>
          </w:p>
        </w:tc>
        <w:tc>
          <w:tcPr/>
          <w:p>
            <w:pPr>
              <w:pStyle w:val="Compact"/>
            </w:pPr>
            <w:r>
              <w:t xml:space="preserve">70</w:t>
            </w:r>
          </w:p>
        </w:tc>
      </w:tr>
      <w:tr>
        <w:tc>
          <w:tcPr/>
          <w:p>
            <w:pPr>
              <w:pStyle w:val="Compact"/>
            </w:pPr>
            <w:r>
              <w:t xml:space="preserve">Monthly Recurring Revenue (MRR, Ende Periode)</w:t>
            </w:r>
          </w:p>
        </w:tc>
        <w:tc>
          <w:tcPr/>
          <w:p>
            <w:pPr>
              <w:pStyle w:val="Compact"/>
            </w:pPr>
            <w:r>
              <w:t xml:space="preserve">~€2.500</w:t>
            </w:r>
          </w:p>
        </w:tc>
        <w:tc>
          <w:tcPr/>
          <w:p>
            <w:pPr>
              <w:pStyle w:val="Compact"/>
            </w:pPr>
            <w:r>
              <w:t xml:space="preserve">~€10.000</w:t>
            </w:r>
          </w:p>
        </w:tc>
        <w:tc>
          <w:tcPr/>
          <w:p>
            <w:pPr>
              <w:pStyle w:val="Compact"/>
            </w:pPr>
            <w:r>
              <w:t xml:space="preserve">~€25.000</w:t>
            </w:r>
          </w:p>
        </w:tc>
      </w:tr>
      <w:tr>
        <w:tc>
          <w:tcPr/>
          <w:p>
            <w:pPr>
              <w:pStyle w:val="Compact"/>
            </w:pPr>
            <w:r>
              <w:t xml:space="preserve">Jahresumsatz (Marge + Abo + Setup)</w:t>
            </w:r>
          </w:p>
        </w:tc>
        <w:tc>
          <w:tcPr/>
          <w:p>
            <w:pPr>
              <w:pStyle w:val="Compact"/>
            </w:pPr>
            <w:r>
              <w:t xml:space="preserve">~€34.000</w:t>
            </w:r>
          </w:p>
        </w:tc>
        <w:tc>
          <w:tcPr/>
          <w:p>
            <w:pPr>
              <w:pStyle w:val="Compact"/>
            </w:pPr>
            <w:r>
              <w:t xml:space="preserve">~€150.000</w:t>
            </w:r>
          </w:p>
        </w:tc>
        <w:tc>
          <w:tcPr/>
          <w:p>
            <w:pPr>
              <w:pStyle w:val="Compact"/>
            </w:pPr>
            <w:r>
              <w:t xml:space="preserve">~€400.000</w:t>
            </w:r>
          </w:p>
        </w:tc>
      </w:tr>
      <w:tr>
        <w:tc>
          <w:tcPr/>
          <w:p>
            <w:pPr>
              <w:pStyle w:val="Compact"/>
            </w:pPr>
            <w:r>
              <w:t xml:space="preserve">Break-even</w:t>
            </w:r>
          </w:p>
        </w:tc>
        <w:tc>
          <w:tcPr/>
          <w:p>
            <w:pPr>
              <w:pStyle w:val="Compact"/>
            </w:pPr>
            <w:r>
              <w:t xml:space="preserve">—</w:t>
            </w:r>
          </w:p>
        </w:tc>
        <w:tc>
          <w:tcPr/>
          <w:p>
            <w:pPr>
              <w:pStyle w:val="Compact"/>
            </w:pPr>
            <w:r>
              <w:t xml:space="preserve">Laufe Jahr 2</w:t>
            </w:r>
          </w:p>
        </w:tc>
        <w:tc>
          <w:tcPr/>
          <w:p>
            <w:pPr>
              <w:pStyle w:val="Compact"/>
            </w:pPr>
            <w:r>
              <w:t xml:space="preserve">Erreicht</w:t>
            </w:r>
          </w:p>
        </w:tc>
      </w:tr>
    </w:tbl>
    <w:p>
      <w:pPr>
        <w:pStyle w:val="BodyText"/>
      </w:pPr>
      <w:r>
        <w:rPr>
          <w:i/>
          <w:iCs/>
        </w:rPr>
        <w:t xml:space="preserve">Das erste Jahr ist bewusst eine Investitions- und Validierungsphase.</w:t>
      </w:r>
    </w:p>
    <w:bookmarkEnd w:id="14"/>
    <w:bookmarkStart w:id="15" w:name="strategische-prioritäten-2026"/>
    <w:p>
      <w:pPr>
        <w:pStyle w:val="Heading3"/>
      </w:pPr>
      <w:r>
        <w:t xml:space="preserve">Strategische Prioritäten 2026</w:t>
      </w:r>
    </w:p>
    <w:p>
      <w:pPr>
        <w:pStyle w:val="Compact"/>
        <w:numPr>
          <w:ilvl w:val="0"/>
          <w:numId w:val="1004"/>
        </w:numPr>
      </w:pPr>
      <w:r>
        <w:t xml:space="preserve">GmbH gründen &amp; Gründungszuschuss sichern</w:t>
      </w:r>
    </w:p>
    <w:p>
      <w:pPr>
        <w:pStyle w:val="Compact"/>
        <w:numPr>
          <w:ilvl w:val="0"/>
          <w:numId w:val="1004"/>
        </w:numPr>
      </w:pPr>
      <w:r>
        <w:t xml:space="preserve">Demo-Gerät beschaffen, Dashboard-MVP entwickeln</w:t>
      </w:r>
    </w:p>
    <w:p>
      <w:pPr>
        <w:pStyle w:val="Compact"/>
        <w:numPr>
          <w:ilvl w:val="0"/>
          <w:numId w:val="1004"/>
        </w:numPr>
      </w:pPr>
      <w:r>
        <w:t xml:space="preserve">3–5 Pilotkunden in DACH gewinnen und Referenzen aufbauen</w:t>
      </w:r>
    </w:p>
    <w:p>
      <w:pPr>
        <w:pStyle w:val="Compact"/>
        <w:numPr>
          <w:ilvl w:val="0"/>
          <w:numId w:val="1004"/>
        </w:numPr>
      </w:pPr>
      <w:r>
        <w:t xml:space="preserve">Englischsprachige Website und Vertriebsmaterialien live schalten</w:t>
      </w:r>
    </w:p>
    <w:p>
      <w:pPr>
        <w:pStyle w:val="Compact"/>
        <w:numPr>
          <w:ilvl w:val="0"/>
          <w:numId w:val="1004"/>
        </w:numPr>
      </w:pPr>
      <w:r>
        <w:t xml:space="preserve">Erste europäische Expansion vorbereiten</w:t>
      </w:r>
    </w:p>
    <w:p>
      <w:r>
        <w:pict>
          <v:rect style="width:0;height:1.5pt" o:hralign="center" o:hrstd="t" o:hr="t"/>
        </w:pict>
      </w:r>
    </w:p>
    <w:bookmarkEnd w:id="15"/>
    <w:bookmarkEnd w:id="16"/>
    <w:bookmarkStart w:id="20" w:name="problem-marktchance"/>
    <w:p>
      <w:pPr>
        <w:pStyle w:val="Heading2"/>
      </w:pPr>
      <w:r>
        <w:t xml:space="preserve">2. Problem &amp; Marktchance</w:t>
      </w:r>
    </w:p>
    <w:bookmarkStart w:id="17" w:name="das-strukturelle-problem"/>
    <w:p>
      <w:pPr>
        <w:pStyle w:val="Heading3"/>
      </w:pPr>
      <w:r>
        <w:t xml:space="preserve">Das strukturelle Problem</w:t>
      </w:r>
    </w:p>
    <w:p>
      <w:pPr>
        <w:pStyle w:val="FirstParagraph"/>
      </w:pPr>
      <w:r>
        <w:t xml:space="preserve">KMU in ganz Europa stehen vor einem KI-Dilemma, das sich in drei Dimensionen aufspannt:</w:t>
      </w:r>
    </w:p>
    <w:p>
      <w:pPr>
        <w:pStyle w:val="BodyText"/>
      </w:pPr>
      <w:r>
        <w:rPr>
          <w:b/>
          <w:bCs/>
        </w:rPr>
        <w:t xml:space="preserve">Dimension 1: KI ist nicht mehr optional</w:t>
      </w:r>
      <w:r>
        <w:t xml:space="preserve"> </w:t>
      </w:r>
      <w:r>
        <w:t xml:space="preserve">Der Einsatz von KI-Tools hat sich in vielen Branchen von einem Wettbewerbsvorteil zu einer Wettbewerbsvoraussetzung entwickelt. Unternehmen, die KI nicht einsetzen, verlieren bei Effizienz, Reaktionsgeschwindigkeit und Servicequalität gegenüber Wettbewerbern. Mitarbeiter erwarten KI-gestützte Werkzeuge, Kunden erwarten intelligente Services.</w:t>
      </w:r>
    </w:p>
    <w:p>
      <w:pPr>
        <w:pStyle w:val="BodyText"/>
      </w:pPr>
      <w:r>
        <w:rPr>
          <w:b/>
          <w:bCs/>
        </w:rPr>
        <w:t xml:space="preserve">Dimension 2: Cloud-KI ist für viele KMU keine Option</w:t>
      </w:r>
      <w:r>
        <w:t xml:space="preserve"> </w:t>
      </w:r>
      <w:r>
        <w:t xml:space="preserve">Die meistgenutzten KI-Dienste (ChatGPT/OpenAI, Microsoft Copilot, Google Gemini) sind Cloud-basiert. Sensible Unternehmensdaten — Verträge, Mandantendaten, Patientendaten, Finanzdaten, strategische Unterlagen, interne Kommunikation — verlassen bei jeder Anfrage das Unternehmen und werden auf fremden Servern verarbeitet. Das ist für eine klar definierbare Gruppe von KMU aus regulatorischen, rechtlichen oder ethischen Gründen inakzeptabel:</w:t>
      </w:r>
    </w:p>
    <w:p>
      <w:pPr>
        <w:pStyle w:val="Compact"/>
        <w:numPr>
          <w:ilvl w:val="0"/>
          <w:numId w:val="1005"/>
        </w:numPr>
      </w:pPr>
      <w:r>
        <w:rPr>
          <w:b/>
          <w:bCs/>
        </w:rPr>
        <w:t xml:space="preserve">Rechtlich:</w:t>
      </w:r>
      <w:r>
        <w:t xml:space="preserve"> </w:t>
      </w:r>
      <w:r>
        <w:t xml:space="preserve">DSGVO Art. 28 (Auftragsverarbeitung), branchenspezifische Geheimhaltungspflichten (§ 203 StGB für Anwälte, Ärzte, Berater), Steuergeheimnis (§ 30 AO)</w:t>
      </w:r>
    </w:p>
    <w:p>
      <w:pPr>
        <w:pStyle w:val="Compact"/>
        <w:numPr>
          <w:ilvl w:val="0"/>
          <w:numId w:val="1005"/>
        </w:numPr>
      </w:pPr>
      <w:r>
        <w:rPr>
          <w:b/>
          <w:bCs/>
        </w:rPr>
        <w:t xml:space="preserve">Regulatorisch:</w:t>
      </w:r>
      <w:r>
        <w:t xml:space="preserve"> </w:t>
      </w:r>
      <w:r>
        <w:t xml:space="preserve">DORA (Finanzsektor), NIS2-Richtlinie, ISO 27001-Anforderungen</w:t>
      </w:r>
    </w:p>
    <w:p>
      <w:pPr>
        <w:pStyle w:val="Compact"/>
        <w:numPr>
          <w:ilvl w:val="0"/>
          <w:numId w:val="1005"/>
        </w:numPr>
      </w:pPr>
      <w:r>
        <w:rPr>
          <w:b/>
          <w:bCs/>
        </w:rPr>
        <w:t xml:space="preserve">Vertraglich:</w:t>
      </w:r>
      <w:r>
        <w:t xml:space="preserve"> </w:t>
      </w:r>
      <w:r>
        <w:t xml:space="preserve">Geheimhaltungsvereinbarungen (NDAs) mit Kunden schließen Cloud-Verarbeitung oft aus</w:t>
      </w:r>
    </w:p>
    <w:p>
      <w:pPr>
        <w:pStyle w:val="FirstParagraph"/>
      </w:pPr>
      <w:r>
        <w:rPr>
          <w:b/>
          <w:bCs/>
        </w:rPr>
        <w:t xml:space="preserve">Dimension 3: Eigenentwicklung überfordert KMU</w:t>
      </w:r>
      <w:r>
        <w:t xml:space="preserve"> </w:t>
      </w:r>
      <w:r>
        <w:t xml:space="preserve">KMU-typisch: keine dedizierte IT-Abteilung, keine ML-Expertise, keine Ressourcen für Infrastruktur-Projekte. Die technischen Hürden für den Betrieb eines eigenen LLM-Systems sind real: Hardware-Beschaffung, OS-Konfiguration, Modell-Deployment, Netzwerksicherheit, laufende Updates und Modelloptimierung erfordern spezifisches Know-how, das in KMU schlicht nicht vorhanden ist.</w:t>
      </w:r>
    </w:p>
    <w:bookmarkEnd w:id="17"/>
    <w:bookmarkStart w:id="18" w:name="die-marktlücke"/>
    <w:p>
      <w:pPr>
        <w:pStyle w:val="Heading3"/>
      </w:pPr>
      <w:r>
        <w:t xml:space="preserve">Die Marktlücke</w:t>
      </w:r>
    </w:p>
    <w:p>
      <w:pPr>
        <w:pStyle w:val="FirstParagraph"/>
      </w:pPr>
      <w:r>
        <w:t xml:space="preserve">Die aktuelle Angebotslandschaft lässt eine spezifische KMU-Gruppe systematisch im Stich:</w:t>
      </w:r>
    </w:p>
    <w:p>
      <w:pPr>
        <w:pStyle w:val="SourceCode"/>
      </w:pPr>
      <w:r>
        <w:rPr>
          <w:rStyle w:val="VerbatimChar"/>
        </w:rPr>
        <w:t xml:space="preserve">Datenschutzbedarf  │ HOCH │ Kanzleien, Arztpraxen, Beratungen, Ingenieurbüros</w:t>
      </w:r>
      <w:r>
        <w:br/>
      </w:r>
      <w:r>
        <w:rPr>
          <w:rStyle w:val="VerbatimChar"/>
        </w:rPr>
        <w:t xml:space="preserve">                   │      │</w:t>
      </w:r>
      <w:r>
        <w:br/>
      </w:r>
      <w:r>
        <w:rPr>
          <w:rStyle w:val="VerbatimChar"/>
        </w:rPr>
        <w:t xml:space="preserve">                   │      │  → Cloud nicht möglich</w:t>
      </w:r>
      <w:r>
        <w:br/>
      </w:r>
      <w:r>
        <w:rPr>
          <w:rStyle w:val="VerbatimChar"/>
        </w:rPr>
        <w:t xml:space="preserve">                   │      │  → Enterprise zu teuer</w:t>
      </w:r>
      <w:r>
        <w:br/>
      </w:r>
      <w:r>
        <w:rPr>
          <w:rStyle w:val="VerbatimChar"/>
        </w:rPr>
        <w:t xml:space="preserve">                   │      │  → Self-hosted zu komplex</w:t>
      </w:r>
      <w:r>
        <w:br/>
      </w:r>
      <w:r>
        <w:rPr>
          <w:rStyle w:val="VerbatimChar"/>
        </w:rPr>
        <w:t xml:space="preserve">                   │      │</w:t>
      </w:r>
      <w:r>
        <w:br/>
      </w:r>
      <w:r>
        <w:rPr>
          <w:rStyle w:val="VerbatimChar"/>
        </w:rPr>
        <w:t xml:space="preserve">                   │      │  ← HIER IST PRIVATEMIND</w:t>
      </w:r>
      <w:r>
        <w:br/>
      </w:r>
      <w:r>
        <w:rPr>
          <w:rStyle w:val="VerbatimChar"/>
        </w:rPr>
        <w:t xml:space="preserve">                   │ NIEDRIG ──────────────────────────────────────────────────►</w:t>
      </w:r>
      <w:r>
        <w:br/>
      </w:r>
      <w:r>
        <w:rPr>
          <w:rStyle w:val="VerbatimChar"/>
        </w:rPr>
        <w:t xml:space="preserve">                                               Ressourcen für IT-Infrastruktur</w:t>
      </w:r>
    </w:p>
    <w:p>
      <w:pPr>
        <w:pStyle w:val="FirstParagraph"/>
      </w:pPr>
      <w:r>
        <w:t xml:space="preserve">Es gibt derzeit kein Angebot, das gleichzeitig erfüllt:</w:t>
      </w:r>
      <w:r>
        <w:t xml:space="preserve"> </w:t>
      </w:r>
      <w:r>
        <w:t xml:space="preserve">- ✅ Lokal betrieben (kein Cloud-Datentransfer)</w:t>
      </w:r>
      <w:r>
        <w:t xml:space="preserve"> </w:t>
      </w:r>
      <w:r>
        <w:t xml:space="preserve">- ✅ Schlüsselfertig (keine IT-Expertise nötig)</w:t>
      </w:r>
      <w:r>
        <w:t xml:space="preserve"> </w:t>
      </w:r>
      <w:r>
        <w:t xml:space="preserve">- ✅ Laufend betreut (Updates, Support, Weiterentwicklung)</w:t>
      </w:r>
      <w:r>
        <w:t xml:space="preserve"> </w:t>
      </w:r>
      <w:r>
        <w:t xml:space="preserve">- ✅ KMU-Preisrahmen (unter €1.000/Monat all-in)</w:t>
      </w:r>
      <w:r>
        <w:t xml:space="preserve"> </w:t>
      </w:r>
      <w:r>
        <w:t xml:space="preserve">- ✅ Unternehmensqualität der KI-Modelle (70B+ Parameter)</w:t>
      </w:r>
    </w:p>
    <w:bookmarkEnd w:id="18"/>
    <w:bookmarkStart w:id="19" w:name="die-chance"/>
    <w:p>
      <w:pPr>
        <w:pStyle w:val="Heading3"/>
      </w:pPr>
      <w:r>
        <w:t xml:space="preserve">Die Chance</w:t>
      </w:r>
    </w:p>
    <w:p>
      <w:pPr>
        <w:pStyle w:val="FirstParagraph"/>
      </w:pPr>
      <w:r>
        <w:rPr>
          <w:b/>
          <w:bCs/>
        </w:rPr>
        <w:t xml:space="preserve">PrivateMind ist die KI-Abteilung, die sich KMU nicht leisten können — als monatlicher Service.</w:t>
      </w:r>
    </w:p>
    <w:p>
      <w:pPr>
        <w:pStyle w:val="BodyText"/>
      </w:pPr>
      <w:r>
        <w:t xml:space="preserve">Der Zeitpunkt ist ideal: Die Hardware-Generation des NVIDIA GB10 Grace Blackwell ermöglicht erstmals Enterprise-Grade LLM-Inferenz auf Desktop-Hardware. Was vor 18 Monaten noch ein Rechenzentrum benötigte, passt heute in eine Schachtel von 15×15×5 cm und verbraucht 240 Watt. Das technologische Fenster öffnet sich gerade — PrivateMind kann als First Mover diesen Markt definieren.</w:t>
      </w:r>
    </w:p>
    <w:p>
      <w:r>
        <w:pict>
          <v:rect style="width:0;height:1.5pt" o:hralign="center" o:hrstd="t" o:hr="t"/>
        </w:pict>
      </w:r>
    </w:p>
    <w:bookmarkEnd w:id="19"/>
    <w:bookmarkEnd w:id="20"/>
    <w:bookmarkStart w:id="26" w:name="marktanalyse"/>
    <w:p>
      <w:pPr>
        <w:pStyle w:val="Heading2"/>
      </w:pPr>
      <w:r>
        <w:t xml:space="preserve">3. Marktanalyse</w:t>
      </w:r>
    </w:p>
    <w:bookmarkStart w:id="21" w:name="makroumfeld"/>
    <w:p>
      <w:pPr>
        <w:pStyle w:val="Heading3"/>
      </w:pPr>
      <w:r>
        <w:t xml:space="preserve">3.1 Makroumfeld</w:t>
      </w:r>
    </w:p>
    <w:p>
      <w:pPr>
        <w:pStyle w:val="FirstParagraph"/>
      </w:pPr>
      <w:r>
        <w:rPr>
          <w:b/>
          <w:bCs/>
        </w:rPr>
        <w:t xml:space="preserve">KI-Adoption in europäischen KMU — der Stand 2026</w:t>
      </w:r>
    </w:p>
    <w:p>
      <w:pPr>
        <w:pStyle w:val="BodyText"/>
      </w:pPr>
      <w:r>
        <w:t xml:space="preserve">Der europäische KI-Markt befindet sich in einer kritischen Wachstumsphase. Laut Eurostat und Studien von Bitkom/McKinsey gelten folgende Eckdaten als Planungsgrundlage (Stand Q1 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Kennzahl</w:t>
            </w:r>
          </w:p>
        </w:tc>
        <w:tc>
          <w:tcPr/>
          <w:p>
            <w:pPr>
              <w:pStyle w:val="Compact"/>
            </w:pPr>
            <w:r>
              <w:t xml:space="preserve">Wert</w:t>
            </w:r>
          </w:p>
        </w:tc>
        <w:tc>
          <w:tcPr/>
          <w:p>
            <w:pPr>
              <w:pStyle w:val="Compact"/>
            </w:pPr>
            <w:r>
              <w:t xml:space="preserve">Quelle/Basis</w:t>
            </w:r>
          </w:p>
        </w:tc>
      </w:tr>
      <w:tr>
        <w:tc>
          <w:tcPr/>
          <w:p>
            <w:pPr>
              <w:pStyle w:val="Compact"/>
            </w:pPr>
            <w:r>
              <w:t xml:space="preserve">KMU in der EU (gesamt)</w:t>
            </w:r>
          </w:p>
        </w:tc>
        <w:tc>
          <w:tcPr/>
          <w:p>
            <w:pPr>
              <w:pStyle w:val="Compact"/>
            </w:pPr>
            <w:r>
              <w:t xml:space="preserve">~23 Mio.</w:t>
            </w:r>
          </w:p>
        </w:tc>
        <w:tc>
          <w:tcPr/>
          <w:p>
            <w:pPr>
              <w:pStyle w:val="Compact"/>
            </w:pPr>
            <w:r>
              <w:t xml:space="preserve">Eurostat 2024</w:t>
            </w:r>
          </w:p>
        </w:tc>
      </w:tr>
      <w:tr>
        <w:tc>
          <w:tcPr/>
          <w:p>
            <w:pPr>
              <w:pStyle w:val="Compact"/>
            </w:pPr>
            <w:r>
              <w:t xml:space="preserve">KMU in DACH (DE+AT+CH)</w:t>
            </w:r>
          </w:p>
        </w:tc>
        <w:tc>
          <w:tcPr/>
          <w:p>
            <w:pPr>
              <w:pStyle w:val="Compact"/>
            </w:pPr>
            <w:r>
              <w:t xml:space="preserve">~3,8 Mio.</w:t>
            </w:r>
          </w:p>
        </w:tc>
        <w:tc>
          <w:tcPr/>
          <w:p>
            <w:pPr>
              <w:pStyle w:val="Compact"/>
            </w:pPr>
            <w:r>
              <w:t xml:space="preserve">Destatis, WKO, Bundesamt CH</w:t>
            </w:r>
          </w:p>
        </w:tc>
      </w:tr>
      <w:tr>
        <w:tc>
          <w:tcPr/>
          <w:p>
            <w:pPr>
              <w:pStyle w:val="Compact"/>
            </w:pPr>
            <w:r>
              <w:t xml:space="preserve">Anteil KMU, die KI-Tools aktiv nutzen (EU)</w:t>
            </w:r>
          </w:p>
        </w:tc>
        <w:tc>
          <w:tcPr/>
          <w:p>
            <w:pPr>
              <w:pStyle w:val="Compact"/>
            </w:pPr>
            <w:r>
              <w:t xml:space="preserve">~18–22%</w:t>
            </w:r>
          </w:p>
        </w:tc>
        <w:tc>
          <w:tcPr/>
          <w:p>
            <w:pPr>
              <w:pStyle w:val="Compact"/>
            </w:pPr>
            <w:r>
              <w:t xml:space="preserve">Bitkom 2025, McKinsey Europe</w:t>
            </w:r>
          </w:p>
        </w:tc>
      </w:tr>
      <w:tr>
        <w:tc>
          <w:tcPr/>
          <w:p>
            <w:pPr>
              <w:pStyle w:val="Compact"/>
            </w:pPr>
            <w:r>
              <w:t xml:space="preserve">Anteil KMU mit Datenschutzbedenken bei Cloud-KI</w:t>
            </w:r>
          </w:p>
        </w:tc>
        <w:tc>
          <w:tcPr/>
          <w:p>
            <w:pPr>
              <w:pStyle w:val="Compact"/>
            </w:pPr>
            <w:r>
              <w:t xml:space="preserve">~45–55%</w:t>
            </w:r>
          </w:p>
        </w:tc>
        <w:tc>
          <w:tcPr/>
          <w:p>
            <w:pPr>
              <w:pStyle w:val="Compact"/>
            </w:pPr>
            <w:r>
              <w:t xml:space="preserve">Bitkom/DSGVO-Befragungen</w:t>
            </w:r>
          </w:p>
        </w:tc>
      </w:tr>
      <w:tr>
        <w:tc>
          <w:tcPr/>
          <w:p>
            <w:pPr>
              <w:pStyle w:val="Compact"/>
            </w:pPr>
            <w:r>
              <w:t xml:space="preserve">Jährliches Wachstum europäischer KI-Markt</w:t>
            </w:r>
          </w:p>
        </w:tc>
        <w:tc>
          <w:tcPr/>
          <w:p>
            <w:pPr>
              <w:pStyle w:val="Compact"/>
            </w:pPr>
            <w:r>
              <w:t xml:space="preserve">~25–30% CAGR</w:t>
            </w:r>
          </w:p>
        </w:tc>
        <w:tc>
          <w:tcPr/>
          <w:p>
            <w:pPr>
              <w:pStyle w:val="Compact"/>
            </w:pPr>
            <w:r>
              <w:t xml:space="preserve">IDC, Gartner</w:t>
            </w:r>
          </w:p>
        </w:tc>
      </w:tr>
      <w:tr>
        <w:tc>
          <w:tcPr/>
          <w:p>
            <w:pPr>
              <w:pStyle w:val="Compact"/>
            </w:pPr>
            <w:r>
              <w:t xml:space="preserve">Geschätzte TAM lokale KI-Infrastruktur EU</w:t>
            </w:r>
          </w:p>
        </w:tc>
        <w:tc>
          <w:tcPr/>
          <w:p>
            <w:pPr>
              <w:pStyle w:val="Compact"/>
            </w:pPr>
            <w:r>
              <w:t xml:space="preserve">&gt;€5 Mrd.</w:t>
            </w:r>
          </w:p>
        </w:tc>
        <w:tc>
          <w:tcPr/>
          <w:p>
            <w:pPr>
              <w:pStyle w:val="Compact"/>
            </w:pPr>
            <w:r>
              <w:t xml:space="preserve">Eigenberechnung, konservativ</w:t>
            </w:r>
          </w:p>
        </w:tc>
      </w:tr>
    </w:tbl>
    <w:p>
      <w:pPr>
        <w:pStyle w:val="BodyText"/>
      </w:pPr>
      <w:r>
        <w:rPr>
          <w:b/>
          <w:bCs/>
        </w:rPr>
        <w:t xml:space="preserve">Regulatorischer Rückenwind:</w:t>
      </w:r>
      <w:r>
        <w:t xml:space="preserve"> </w:t>
      </w:r>
      <w:r>
        <w:t xml:space="preserve">Der EU AI Act (in Kraft seit August 2024, Anwendungsphasen bis 2027) und die weiterhin strenge DSGVO-Durchsetzung (Bußgelder 2024 in Rekordhöhe von über €1,6 Mrd. EU-weit) verstärken den Druck auf Datensouveränität. Lokale KI-Infrastruktur ist kein Nice-to-have — sie wird zur Compliance-Anforderung.</w:t>
      </w:r>
    </w:p>
    <w:bookmarkEnd w:id="21"/>
    <w:bookmarkStart w:id="22" w:name="zielmarktsegmente"/>
    <w:p>
      <w:pPr>
        <w:pStyle w:val="Heading3"/>
      </w:pPr>
      <w:r>
        <w:t xml:space="preserve">3.2 Zielmarktsegmente</w:t>
      </w:r>
    </w:p>
    <w:p>
      <w:pPr>
        <w:pStyle w:val="FirstParagraph"/>
      </w:pPr>
      <w:r>
        <w:rPr>
          <w:b/>
          <w:bCs/>
        </w:rPr>
        <w:t xml:space="preserve">Primärsegment: Datenschutzsensible Freiberufler &amp; kleine KMU (10–50 MA)</w:t>
      </w:r>
    </w:p>
    <w:p>
      <w:pPr>
        <w:pStyle w:val="BodyText"/>
      </w:pPr>
      <w:r>
        <w:t xml:space="preserve">Das wirtschaftlich attraktivste Primärsegment sind Unternehmen mit gesetzlicher oder vertraglicher Geheimhaltungspflicht: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Branche</w:t>
            </w:r>
          </w:p>
        </w:tc>
        <w:tc>
          <w:tcPr/>
          <w:p>
            <w:pPr>
              <w:pStyle w:val="Compact"/>
            </w:pPr>
            <w:r>
              <w:t xml:space="preserve">Charakteristik</w:t>
            </w:r>
          </w:p>
        </w:tc>
        <w:tc>
          <w:tcPr/>
          <w:p>
            <w:pPr>
              <w:pStyle w:val="Compact"/>
            </w:pPr>
            <w:r>
              <w:t xml:space="preserve">Datenschutz-Treiber</w:t>
            </w:r>
          </w:p>
        </w:tc>
        <w:tc>
          <w:tcPr/>
          <w:p>
            <w:pPr>
              <w:pStyle w:val="Compact"/>
            </w:pPr>
            <w:r>
              <w:t xml:space="preserve">Zahlungsbereitschaft</w:t>
            </w:r>
          </w:p>
        </w:tc>
      </w:tr>
      <w:tr>
        <w:tc>
          <w:tcPr/>
          <w:p>
            <w:pPr>
              <w:pStyle w:val="Compact"/>
            </w:pPr>
            <w:r>
              <w:t xml:space="preserve">Kanzleien (Rechtsanwälte, Notare)</w:t>
            </w:r>
          </w:p>
        </w:tc>
        <w:tc>
          <w:tcPr/>
          <w:p>
            <w:pPr>
              <w:pStyle w:val="Compact"/>
            </w:pPr>
            <w:r>
              <w:t xml:space="preserve">2–20 MA, hohe Marge, digitalisierungsbereit</w:t>
            </w:r>
          </w:p>
        </w:tc>
        <w:tc>
          <w:tcPr/>
          <w:p>
            <w:pPr>
              <w:pStyle w:val="Compact"/>
            </w:pPr>
            <w:r>
              <w:t xml:space="preserve">§ 203 StGB, Mandantengeheimnis</w:t>
            </w:r>
          </w:p>
        </w:tc>
        <w:tc>
          <w:tcPr/>
          <w:p>
            <w:pPr>
              <w:pStyle w:val="Compact"/>
            </w:pPr>
            <w:r>
              <w:t xml:space="preserve">Hoch (€500–€1.000/Mo.)</w:t>
            </w:r>
          </w:p>
        </w:tc>
      </w:tr>
      <w:tr>
        <w:tc>
          <w:tcPr/>
          <w:p>
            <w:pPr>
              <w:pStyle w:val="Compact"/>
            </w:pPr>
            <w:r>
              <w:t xml:space="preserve">Steuerberater &amp; Wirtschaftsprüfer</w:t>
            </w:r>
          </w:p>
        </w:tc>
        <w:tc>
          <w:tcPr/>
          <w:p>
            <w:pPr>
              <w:pStyle w:val="Compact"/>
            </w:pPr>
            <w:r>
              <w:t xml:space="preserve">3–30 MA, Fachkräftemangel treibt Automatisierung</w:t>
            </w:r>
          </w:p>
        </w:tc>
        <w:tc>
          <w:tcPr/>
          <w:p>
            <w:pPr>
              <w:pStyle w:val="Compact"/>
            </w:pPr>
            <w:r>
              <w:t xml:space="preserve">Steuergeheimnis § 30 AO</w:t>
            </w:r>
          </w:p>
        </w:tc>
        <w:tc>
          <w:tcPr/>
          <w:p>
            <w:pPr>
              <w:pStyle w:val="Compact"/>
            </w:pPr>
            <w:r>
              <w:t xml:space="preserve">Hoch</w:t>
            </w:r>
          </w:p>
        </w:tc>
      </w:tr>
      <w:tr>
        <w:tc>
          <w:tcPr/>
          <w:p>
            <w:pPr>
              <w:pStyle w:val="Compact"/>
            </w:pPr>
            <w:r>
              <w:t xml:space="preserve">Arztpraxen, Zahnarztpraxen, MVZ</w:t>
            </w:r>
          </w:p>
        </w:tc>
        <w:tc>
          <w:tcPr/>
          <w:p>
            <w:pPr>
              <w:pStyle w:val="Compact"/>
            </w:pPr>
            <w:r>
              <w:t xml:space="preserve">5–50 MA, Patientendaten extrem sensibel</w:t>
            </w:r>
          </w:p>
        </w:tc>
        <w:tc>
          <w:tcPr/>
          <w:p>
            <w:pPr>
              <w:pStyle w:val="Compact"/>
            </w:pPr>
            <w:r>
              <w:t xml:space="preserve">KDG, DSGVO, Schweigepflicht</w:t>
            </w:r>
          </w:p>
        </w:tc>
        <w:tc>
          <w:tcPr/>
          <w:p>
            <w:pPr>
              <w:pStyle w:val="Compact"/>
            </w:pPr>
            <w:r>
              <w:t xml:space="preserve">Mittel–Hoch</w:t>
            </w:r>
          </w:p>
        </w:tc>
      </w:tr>
      <w:tr>
        <w:tc>
          <w:tcPr/>
          <w:p>
            <w:pPr>
              <w:pStyle w:val="Compact"/>
            </w:pPr>
            <w:r>
              <w:t xml:space="preserve">Ingenieurbüros, Architekten</w:t>
            </w:r>
          </w:p>
        </w:tc>
        <w:tc>
          <w:tcPr/>
          <w:p>
            <w:pPr>
              <w:pStyle w:val="Compact"/>
            </w:pPr>
            <w:r>
              <w:t xml:space="preserve">5–50 MA, proprietäre Konstruktionsdaten</w:t>
            </w:r>
          </w:p>
        </w:tc>
        <w:tc>
          <w:tcPr/>
          <w:p>
            <w:pPr>
              <w:pStyle w:val="Compact"/>
            </w:pPr>
            <w:r>
              <w:t xml:space="preserve">NDA-Verpflichtungen</w:t>
            </w:r>
          </w:p>
        </w:tc>
        <w:tc>
          <w:tcPr/>
          <w:p>
            <w:pPr>
              <w:pStyle w:val="Compact"/>
            </w:pPr>
            <w:r>
              <w:t xml:space="preserve">Mittel</w:t>
            </w:r>
          </w:p>
        </w:tc>
      </w:tr>
      <w:tr>
        <w:tc>
          <w:tcPr/>
          <w:p>
            <w:pPr>
              <w:pStyle w:val="Compact"/>
            </w:pPr>
            <w:r>
              <w:t xml:space="preserve">Unternehmensberatungen</w:t>
            </w:r>
          </w:p>
        </w:tc>
        <w:tc>
          <w:tcPr/>
          <w:p>
            <w:pPr>
              <w:pStyle w:val="Compact"/>
            </w:pPr>
            <w:r>
              <w:t xml:space="preserve">2–30 MA, Strategiedaten</w:t>
            </w:r>
          </w:p>
        </w:tc>
        <w:tc>
          <w:tcPr/>
          <w:p>
            <w:pPr>
              <w:pStyle w:val="Compact"/>
            </w:pPr>
            <w:r>
              <w:t xml:space="preserve">NDA, Mandantenvertrauen</w:t>
            </w:r>
          </w:p>
        </w:tc>
        <w:tc>
          <w:tcPr/>
          <w:p>
            <w:pPr>
              <w:pStyle w:val="Compact"/>
            </w:pPr>
            <w:r>
              <w:t xml:space="preserve">Hoch</w:t>
            </w:r>
          </w:p>
        </w:tc>
      </w:tr>
      <w:tr>
        <w:tc>
          <w:tcPr/>
          <w:p>
            <w:pPr>
              <w:pStyle w:val="Compact"/>
            </w:pPr>
            <w:r>
              <w:t xml:space="preserve">Finanzdienstleister (unabhängig)</w:t>
            </w:r>
          </w:p>
        </w:tc>
        <w:tc>
          <w:tcPr/>
          <w:p>
            <w:pPr>
              <w:pStyle w:val="Compact"/>
            </w:pPr>
            <w:r>
              <w:t xml:space="preserve">2–20 MA</w:t>
            </w:r>
          </w:p>
        </w:tc>
        <w:tc>
          <w:tcPr/>
          <w:p>
            <w:pPr>
              <w:pStyle w:val="Compact"/>
            </w:pPr>
            <w:r>
              <w:t xml:space="preserve">DORA, MiFID II</w:t>
            </w:r>
          </w:p>
        </w:tc>
        <w:tc>
          <w:tcPr/>
          <w:p>
            <w:pPr>
              <w:pStyle w:val="Compact"/>
            </w:pPr>
            <w:r>
              <w:t xml:space="preserve">Hoch</w:t>
            </w:r>
          </w:p>
        </w:tc>
      </w:tr>
    </w:tbl>
    <w:p>
      <w:pPr>
        <w:pStyle w:val="BodyText"/>
      </w:pPr>
      <w:r>
        <w:rPr>
          <w:b/>
          <w:bCs/>
        </w:rPr>
        <w:t xml:space="preserve">Charakteristik des Idealkunden:</w:t>
      </w:r>
      <w:r>
        <w:t xml:space="preserve"> </w:t>
      </w:r>
      <w:r>
        <w:t xml:space="preserve">- Regelmäßige Arbeit mit vertraulichen Dokumenten (Verträge, Gutachten, Patientenakten)</w:t>
      </w:r>
      <w:r>
        <w:t xml:space="preserve"> </w:t>
      </w:r>
      <w:r>
        <w:t xml:space="preserve">- 1–5 Mitarbeiter, die täglich mit KI-gestütztem Schreiben, Zusammenfassen oder Recherchieren profitieren würden</w:t>
      </w:r>
      <w:r>
        <w:t xml:space="preserve"> </w:t>
      </w:r>
      <w:r>
        <w:t xml:space="preserve">- Entscheidungsträger ist der Inhaber/Geschäftsführer (kurze Vertriebszyklen)</w:t>
      </w:r>
      <w:r>
        <w:t xml:space="preserve"> </w:t>
      </w:r>
      <w:r>
        <w:t xml:space="preserve">- Budget für Software/IT vorhanden, aber kein IT-Personal</w:t>
      </w:r>
    </w:p>
    <w:p>
      <w:pPr>
        <w:pStyle w:val="BodyText"/>
      </w:pPr>
      <w:r>
        <w:rPr>
          <w:b/>
          <w:bCs/>
        </w:rPr>
        <w:t xml:space="preserve">Sekundärsegment: Mittelstand mit Datensicherheitsbedarf (50–250 MA)</w:t>
      </w:r>
    </w:p>
    <w:p>
      <w:pPr>
        <w:pStyle w:val="BodyText"/>
      </w:pPr>
      <w:r>
        <w:t xml:space="preserve">Größere Mittelständler, die einzelne Abteilungen (Legal, Finanzen, Entwicklung, HR) mit lokaler KI ausstatten wollen, ohne die zentrale IT zu belasten. Hier ist das Premium-Bundle relevant. Längere Vertriebszyklen, aber größere ARR pro Kunde.</w:t>
      </w:r>
    </w:p>
    <w:p>
      <w:pPr>
        <w:pStyle w:val="BodyText"/>
      </w:pPr>
      <w:r>
        <w:rPr>
          <w:b/>
          <w:bCs/>
        </w:rPr>
        <w:t xml:space="preserve">Tertiärsegment: IT-Dienstleister als Reseller</w:t>
      </w:r>
    </w:p>
    <w:p>
      <w:pPr>
        <w:pStyle w:val="BodyText"/>
      </w:pPr>
      <w:r>
        <w:t xml:space="preserve">IT-Systemhäuser und MSPs, die ihren KMU-Kunden eine White-Label-KI-Lösung anbieten wollen. Kanalpartner-Modell ab Jahr 2.</w:t>
      </w:r>
    </w:p>
    <w:bookmarkEnd w:id="22"/>
    <w:bookmarkStart w:id="23" w:name="serviceable-addressable-market-sam"/>
    <w:p>
      <w:pPr>
        <w:pStyle w:val="Heading3"/>
      </w:pPr>
      <w:r>
        <w:t xml:space="preserve">3.3 Serviceable Addressable Market (SAM)</w:t>
      </w:r>
    </w:p>
    <w:p>
      <w:pPr>
        <w:pStyle w:val="FirstParagraph"/>
      </w:pPr>
      <w:r>
        <w:t xml:space="preserve">Konservative SAM-Berechnung für den europäischen Fokusmarkt:</w:t>
      </w:r>
    </w:p>
    <w:p>
      <w:pPr>
        <w:pStyle w:val="SourceCode"/>
      </w:pPr>
      <w:r>
        <w:rPr>
          <w:rStyle w:val="VerbatimChar"/>
        </w:rPr>
        <w:t xml:space="preserve">Annahmen:</w:t>
      </w:r>
      <w:r>
        <w:br/>
      </w:r>
      <w:r>
        <w:rPr>
          <w:rStyle w:val="VerbatimChar"/>
        </w:rPr>
        <w:t xml:space="preserve">- DACH: ~3,8 Mio. KMU, davon ~15% datenschutzsensible Branchen = ~570.000</w:t>
      </w:r>
      <w:r>
        <w:br/>
      </w:r>
      <w:r>
        <w:rPr>
          <w:rStyle w:val="VerbatimChar"/>
        </w:rPr>
        <w:t xml:space="preserve">- NL + Nordics + UK: Vergleichbare Dichte, geschätzt ~400.000 relevante KMU</w:t>
      </w:r>
      <w:r>
        <w:br/>
      </w:r>
      <w:r>
        <w:rPr>
          <w:rStyle w:val="VerbatimChar"/>
        </w:rPr>
        <w:t xml:space="preserve">- Gesamt adressierbarer Markt (SAM): ~970.000 KMU</w:t>
      </w:r>
      <w:r>
        <w:br/>
      </w:r>
      <w:r>
        <w:br/>
      </w:r>
      <w:r>
        <w:rPr>
          <w:rStyle w:val="VerbatimChar"/>
        </w:rPr>
        <w:t xml:space="preserve">Konversionsannahme:</w:t>
      </w:r>
      <w:r>
        <w:br/>
      </w:r>
      <w:r>
        <w:rPr>
          <w:rStyle w:val="VerbatimChar"/>
        </w:rPr>
        <w:t xml:space="preserve">- Realistische Durchdringung 5 Jahre: 0,1% des SAM = ~970 Kunden</w:t>
      </w:r>
      <w:r>
        <w:br/>
      </w:r>
      <w:r>
        <w:rPr>
          <w:rStyle w:val="VerbatimChar"/>
        </w:rPr>
        <w:t xml:space="preserve">- Ø Jahresumsatz pro Kunde (Hardware + Setup + Abo): ~€8.000</w:t>
      </w:r>
      <w:r>
        <w:br/>
      </w:r>
      <w:r>
        <w:rPr>
          <w:rStyle w:val="VerbatimChar"/>
        </w:rPr>
        <w:t xml:space="preserve">- SAM-Wert für PrivateMind (5 Jahre): ~€7,8 Mio. Umsatz kumuliert</w:t>
      </w:r>
      <w:r>
        <w:br/>
      </w:r>
      <w:r>
        <w:br/>
      </w:r>
      <w:r>
        <w:rPr>
          <w:rStyle w:val="VerbatimChar"/>
        </w:rPr>
        <w:t xml:space="preserve">Serviceable Obtainable Market (SOM) — Ziel Jahr 3:</w:t>
      </w:r>
      <w:r>
        <w:br/>
      </w:r>
      <w:r>
        <w:rPr>
          <w:rStyle w:val="VerbatimChar"/>
        </w:rPr>
        <w:t xml:space="preserve">- 70–150 Kunden × €8.000 Ø = €560.000 – €1.200.000 ARR</w:t>
      </w:r>
    </w:p>
    <w:bookmarkEnd w:id="23"/>
    <w:bookmarkStart w:id="24" w:name="wettbewerbsanalyse"/>
    <w:p>
      <w:pPr>
        <w:pStyle w:val="Heading3"/>
      </w:pPr>
      <w:r>
        <w:t xml:space="preserve">3.4 Wettbewerbsanalyse</w:t>
      </w:r>
    </w:p>
    <w:p>
      <w:pPr>
        <w:pStyle w:val="FirstParagraph"/>
      </w:pPr>
      <w:r>
        <w:rPr>
          <w:b/>
          <w:bCs/>
        </w:rPr>
        <w:t xml:space="preserve">Direkte &amp; indirekte Wettbewerber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Wettbewerber</w:t>
            </w:r>
          </w:p>
        </w:tc>
        <w:tc>
          <w:tcPr/>
          <w:p>
            <w:pPr>
              <w:pStyle w:val="Compact"/>
            </w:pPr>
            <w:r>
              <w:t xml:space="preserve">Kategorie</w:t>
            </w:r>
          </w:p>
        </w:tc>
        <w:tc>
          <w:tcPr/>
          <w:p>
            <w:pPr>
              <w:pStyle w:val="Compact"/>
            </w:pPr>
            <w:r>
              <w:t xml:space="preserve">Stärken</w:t>
            </w:r>
          </w:p>
        </w:tc>
        <w:tc>
          <w:tcPr/>
          <w:p>
            <w:pPr>
              <w:pStyle w:val="Compact"/>
            </w:pPr>
            <w:r>
              <w:t xml:space="preserve">Schwächen aus KMU-Sicht</w:t>
            </w:r>
          </w:p>
        </w:tc>
        <w:tc>
          <w:tcPr/>
          <w:p>
            <w:pPr>
              <w:pStyle w:val="Compact"/>
            </w:pPr>
            <w:r>
              <w:t xml:space="preserve">PrivateMind-Vorteil</w:t>
            </w:r>
          </w:p>
        </w:tc>
      </w:tr>
      <w:tr>
        <w:tc>
          <w:tcPr/>
          <w:p>
            <w:pPr>
              <w:pStyle w:val="Compact"/>
            </w:pPr>
            <w:r>
              <w:t xml:space="preserve">OpenAI / ChatGPT Enterprise</w:t>
            </w:r>
          </w:p>
        </w:tc>
        <w:tc>
          <w:tcPr/>
          <w:p>
            <w:pPr>
              <w:pStyle w:val="Compact"/>
            </w:pPr>
            <w:r>
              <w:t xml:space="preserve">Cloud-KI</w:t>
            </w:r>
          </w:p>
        </w:tc>
        <w:tc>
          <w:tcPr/>
          <w:p>
            <w:pPr>
              <w:pStyle w:val="Compact"/>
            </w:pPr>
            <w:r>
              <w:t xml:space="preserve">Beste Modellqualität, große Bekanntheit</w:t>
            </w:r>
          </w:p>
        </w:tc>
        <w:tc>
          <w:tcPr/>
          <w:p>
            <w:pPr>
              <w:pStyle w:val="Compact"/>
            </w:pPr>
            <w:r>
              <w:t xml:space="preserve">Daten verlassen das Unternehmen, DSGVO-kritisch, Preise steigen</w:t>
            </w:r>
          </w:p>
        </w:tc>
        <w:tc>
          <w:tcPr/>
          <w:p>
            <w:pPr>
              <w:pStyle w:val="Compact"/>
            </w:pPr>
            <w:r>
              <w:t xml:space="preserve">Lokale Datenhaltung</w:t>
            </w:r>
          </w:p>
        </w:tc>
      </w:tr>
      <w:tr>
        <w:tc>
          <w:tcPr/>
          <w:p>
            <w:pPr>
              <w:pStyle w:val="Compact"/>
            </w:pPr>
            <w:r>
              <w:t xml:space="preserve">Microsoft Copilot 365</w:t>
            </w:r>
          </w:p>
        </w:tc>
        <w:tc>
          <w:tcPr/>
          <w:p>
            <w:pPr>
              <w:pStyle w:val="Compact"/>
            </w:pPr>
            <w:r>
              <w:t xml:space="preserve">Cloud-KI, tief integriert</w:t>
            </w:r>
          </w:p>
        </w:tc>
        <w:tc>
          <w:tcPr/>
          <w:p>
            <w:pPr>
              <w:pStyle w:val="Compact"/>
            </w:pPr>
            <w:r>
              <w:t xml:space="preserve">Office-Integration, Markenvertrauen</w:t>
            </w:r>
          </w:p>
        </w:tc>
        <w:tc>
          <w:tcPr/>
          <w:p>
            <w:pPr>
              <w:pStyle w:val="Compact"/>
            </w:pPr>
            <w:r>
              <w:t xml:space="preserve">Cloud-abhängig, Bundling mit M365, keine Kontrolle über Modelle</w:t>
            </w:r>
          </w:p>
        </w:tc>
        <w:tc>
          <w:tcPr/>
          <w:p>
            <w:pPr>
              <w:pStyle w:val="Compact"/>
            </w:pPr>
            <w:r>
              <w:t xml:space="preserve">Unabhängigkeit, Modellfreiheit</w:t>
            </w:r>
          </w:p>
        </w:tc>
      </w:tr>
      <w:tr>
        <w:tc>
          <w:tcPr/>
          <w:p>
            <w:pPr>
              <w:pStyle w:val="Compact"/>
            </w:pPr>
            <w:r>
              <w:t xml:space="preserve">Google Gemini for Workspace</w:t>
            </w:r>
          </w:p>
        </w:tc>
        <w:tc>
          <w:tcPr/>
          <w:p>
            <w:pPr>
              <w:pStyle w:val="Compact"/>
            </w:pPr>
            <w:r>
              <w:t xml:space="preserve">Cloud-KI</w:t>
            </w:r>
          </w:p>
        </w:tc>
        <w:tc>
          <w:tcPr/>
          <w:p>
            <w:pPr>
              <w:pStyle w:val="Compact"/>
            </w:pPr>
            <w:r>
              <w:t xml:space="preserve">Stärke bei Dokumenten/Gmail</w:t>
            </w:r>
          </w:p>
        </w:tc>
        <w:tc>
          <w:tcPr/>
          <w:p>
            <w:pPr>
              <w:pStyle w:val="Compact"/>
            </w:pPr>
            <w:r>
              <w:t xml:space="preserve">Cloud, Datenschutzbedenken bei Google-Produkten</w:t>
            </w:r>
          </w:p>
        </w:tc>
        <w:tc>
          <w:tcPr/>
          <w:p>
            <w:pPr>
              <w:pStyle w:val="Compact"/>
            </w:pPr>
            <w:r>
              <w:t xml:space="preserve">Datensouveränität</w:t>
            </w:r>
          </w:p>
        </w:tc>
      </w:tr>
      <w:tr>
        <w:tc>
          <w:tcPr/>
          <w:p>
            <w:pPr>
              <w:pStyle w:val="Compact"/>
            </w:pPr>
            <w:r>
              <w:t xml:space="preserve">Ollama / LocalAI / LM Studio</w:t>
            </w:r>
          </w:p>
        </w:tc>
        <w:tc>
          <w:tcPr/>
          <w:p>
            <w:pPr>
              <w:pStyle w:val="Compact"/>
            </w:pPr>
            <w:r>
              <w:t xml:space="preserve">Open-Source, lokal</w:t>
            </w:r>
          </w:p>
        </w:tc>
        <w:tc>
          <w:tcPr/>
          <w:p>
            <w:pPr>
              <w:pStyle w:val="Compact"/>
            </w:pPr>
            <w:r>
              <w:t xml:space="preserve">Kostenlos, flexibel</w:t>
            </w:r>
          </w:p>
        </w:tc>
        <w:tc>
          <w:tcPr/>
          <w:p>
            <w:pPr>
              <w:pStyle w:val="Compact"/>
            </w:pPr>
            <w:r>
              <w:t xml:space="preserve">Keine Support-SLA, erfordert Linux/Docker-Kenntnisse, kein GUI für Nicht-Techniker</w:t>
            </w:r>
          </w:p>
        </w:tc>
        <w:tc>
          <w:tcPr/>
          <w:p>
            <w:pPr>
              <w:pStyle w:val="Compact"/>
            </w:pPr>
            <w:r>
              <w:t xml:space="preserve">Schlüsselfertig, Support</w:t>
            </w:r>
          </w:p>
        </w:tc>
      </w:tr>
      <w:tr>
        <w:tc>
          <w:tcPr/>
          <w:p>
            <w:pPr>
              <w:pStyle w:val="Compact"/>
            </w:pPr>
            <w:r>
              <w:t xml:space="preserve">NVIDIA DGX Spark (direkt)</w:t>
            </w:r>
          </w:p>
        </w:tc>
        <w:tc>
          <w:tcPr/>
          <w:p>
            <w:pPr>
              <w:pStyle w:val="Compact"/>
            </w:pPr>
            <w:r>
              <w:t xml:space="preserve">Hardware für Entwickler</w:t>
            </w:r>
          </w:p>
        </w:tc>
        <w:tc>
          <w:tcPr/>
          <w:p>
            <w:pPr>
              <w:pStyle w:val="Compact"/>
            </w:pPr>
            <w:r>
              <w:t xml:space="preserve">Gleiche Hardware, NVIDIA-Marke</w:t>
            </w:r>
          </w:p>
        </w:tc>
        <w:tc>
          <w:tcPr/>
          <w:p>
            <w:pPr>
              <w:pStyle w:val="Compact"/>
            </w:pPr>
            <w:r>
              <w:t xml:space="preserve">Kein Service, kein KMU-Support, teurer als ASUS GX10</w:t>
            </w:r>
          </w:p>
        </w:tc>
        <w:tc>
          <w:tcPr/>
          <w:p>
            <w:pPr>
              <w:pStyle w:val="Compact"/>
            </w:pPr>
            <w:r>
              <w:t xml:space="preserve">Service + günstigere Hardware</w:t>
            </w:r>
          </w:p>
        </w:tc>
      </w:tr>
      <w:tr>
        <w:tc>
          <w:tcPr/>
          <w:p>
            <w:pPr>
              <w:pStyle w:val="Compact"/>
            </w:pPr>
            <w:r>
              <w:t xml:space="preserve">Dell/HP/Lenovo GB10-Systeme</w:t>
            </w:r>
          </w:p>
        </w:tc>
        <w:tc>
          <w:tcPr/>
          <w:p>
            <w:pPr>
              <w:pStyle w:val="Compact"/>
            </w:pPr>
            <w:r>
              <w:t xml:space="preserve">Hardware-Anbieter</w:t>
            </w:r>
          </w:p>
        </w:tc>
        <w:tc>
          <w:tcPr/>
          <w:p>
            <w:pPr>
              <w:pStyle w:val="Compact"/>
            </w:pPr>
            <w:r>
              <w:t xml:space="preserve">Hersteller-Support</w:t>
            </w:r>
          </w:p>
        </w:tc>
        <w:tc>
          <w:tcPr/>
          <w:p>
            <w:pPr>
              <w:pStyle w:val="Compact"/>
            </w:pPr>
            <w:r>
              <w:t xml:space="preserve">Kein KI-spezifischer Service, höherer Hardware-Preis</w:t>
            </w:r>
          </w:p>
        </w:tc>
        <w:tc>
          <w:tcPr/>
          <w:p>
            <w:pPr>
              <w:pStyle w:val="Compact"/>
            </w:pPr>
            <w:r>
              <w:t xml:space="preserve">Spezialisierung, KMU-Fokus</w:t>
            </w:r>
          </w:p>
        </w:tc>
      </w:tr>
      <w:tr>
        <w:tc>
          <w:tcPr/>
          <w:p>
            <w:pPr>
              <w:pStyle w:val="Compact"/>
            </w:pPr>
            <w:r>
              <w:t xml:space="preserve">Lokale IT-Systemhäuser</w:t>
            </w:r>
          </w:p>
        </w:tc>
        <w:tc>
          <w:tcPr/>
          <w:p>
            <w:pPr>
              <w:pStyle w:val="Compact"/>
            </w:pPr>
            <w:r>
              <w:t xml:space="preserve">IT-Dienstleister</w:t>
            </w:r>
          </w:p>
        </w:tc>
        <w:tc>
          <w:tcPr/>
          <w:p>
            <w:pPr>
              <w:pStyle w:val="Compact"/>
            </w:pPr>
            <w:r>
              <w:t xml:space="preserve">Regionale Präsenz, Kundenvertrauen</w:t>
            </w:r>
          </w:p>
        </w:tc>
        <w:tc>
          <w:tcPr/>
          <w:p>
            <w:pPr>
              <w:pStyle w:val="Compact"/>
            </w:pPr>
            <w:r>
              <w:t xml:space="preserve">Individuallösungen = teuer, kein standardisiertes KI-Angebot, fehlendes LLM-Know-how</w:t>
            </w:r>
          </w:p>
        </w:tc>
        <w:tc>
          <w:tcPr/>
          <w:p>
            <w:pPr>
              <w:pStyle w:val="Compact"/>
            </w:pPr>
            <w:r>
              <w:t xml:space="preserve">Standardisiert, LLM-spezialisiert</w:t>
            </w:r>
          </w:p>
        </w:tc>
      </w:tr>
      <w:tr>
        <w:tc>
          <w:tcPr/>
          <w:p>
            <w:pPr>
              <w:pStyle w:val="Compact"/>
            </w:pPr>
            <w:r>
              <w:rPr>
                <w:b/>
                <w:bCs/>
              </w:rPr>
              <w:t xml:space="preserve">PrivateMind</w:t>
            </w:r>
          </w:p>
        </w:tc>
        <w:tc>
          <w:tcPr/>
          <w:p>
            <w:pPr>
              <w:pStyle w:val="Compact"/>
            </w:pPr>
            <w:r>
              <w:rPr>
                <w:b/>
                <w:bCs/>
              </w:rPr>
              <w:t xml:space="preserve">KI-Appliance + Service</w:t>
            </w:r>
          </w:p>
        </w:tc>
        <w:tc>
          <w:tcPr/>
          <w:p>
            <w:pPr>
              <w:pStyle w:val="Compact"/>
            </w:pPr>
            <w:r>
              <w:rPr>
                <w:b/>
                <w:bCs/>
              </w:rPr>
              <w:t xml:space="preserve">Komplett aus einer Hand, lokal, KMU-Preis</w:t>
            </w:r>
          </w:p>
        </w:tc>
        <w:tc>
          <w:tcPr/>
          <w:p>
            <w:pPr>
              <w:pStyle w:val="Compact"/>
            </w:pPr>
            <w:r>
              <w:t xml:space="preserve">—</w:t>
            </w:r>
          </w:p>
        </w:tc>
        <w:tc>
          <w:tcPr/>
          <w:p>
            <w:pPr>
              <w:pStyle w:val="Compact"/>
            </w:pPr>
            <w:r>
              <w:t xml:space="preserve">—</w:t>
            </w:r>
          </w:p>
        </w:tc>
      </w:tr>
    </w:tbl>
    <w:p>
      <w:pPr>
        <w:pStyle w:val="BodyText"/>
      </w:pPr>
      <w:r>
        <w:rPr>
          <w:b/>
          <w:bCs/>
        </w:rPr>
        <w:t xml:space="preserve">Positionierungsmatrix:</w:t>
      </w:r>
    </w:p>
    <w:p>
      <w:pPr>
        <w:pStyle w:val="SourceCode"/>
      </w:pPr>
      <w:r>
        <w:rPr>
          <w:rStyle w:val="VerbatimChar"/>
        </w:rPr>
        <w:t xml:space="preserve">                    LOKAL / DATENSICHER</w:t>
      </w:r>
      <w:r>
        <w:br/>
      </w:r>
      <w:r>
        <w:rPr>
          <w:rStyle w:val="VerbatimChar"/>
        </w:rPr>
        <w:t xml:space="preserve">                         │</w:t>
      </w:r>
      <w:r>
        <w:br/>
      </w:r>
      <w:r>
        <w:rPr>
          <w:rStyle w:val="VerbatimChar"/>
        </w:rPr>
        <w:t xml:space="preserve">          Open-Source    │      PrivateMind ←</w:t>
      </w:r>
      <w:r>
        <w:br/>
      </w:r>
      <w:r>
        <w:rPr>
          <w:rStyle w:val="VerbatimChar"/>
        </w:rPr>
        <w:t xml:space="preserve">          (Ollama etc.)  │</w:t>
      </w:r>
      <w:r>
        <w:br/>
      </w:r>
      <w:r>
        <w:rPr>
          <w:rStyle w:val="VerbatimChar"/>
        </w:rPr>
        <w:t xml:space="preserve">                         │</w:t>
      </w:r>
      <w:r>
        <w:br/>
      </w:r>
      <w:r>
        <w:rPr>
          <w:rStyle w:val="VerbatimChar"/>
        </w:rPr>
        <w:t xml:space="preserve">KOMPLEX ─────────────────┼───────────────────── EINFACH</w:t>
      </w:r>
      <w:r>
        <w:br/>
      </w:r>
      <w:r>
        <w:rPr>
          <w:rStyle w:val="VerbatimChar"/>
        </w:rPr>
        <w:t xml:space="preserve">(IT-Expertise nötig)     │           (schlüsselfertig)</w:t>
      </w:r>
      <w:r>
        <w:br/>
      </w:r>
      <w:r>
        <w:rPr>
          <w:rStyle w:val="VerbatimChar"/>
        </w:rPr>
        <w:t xml:space="preserve">                         │</w:t>
      </w:r>
      <w:r>
        <w:br/>
      </w:r>
      <w:r>
        <w:rPr>
          <w:rStyle w:val="VerbatimChar"/>
        </w:rPr>
        <w:t xml:space="preserve">          Enterprise     │      Cloud-KI</w:t>
      </w:r>
      <w:r>
        <w:br/>
      </w:r>
      <w:r>
        <w:rPr>
          <w:rStyle w:val="VerbatimChar"/>
        </w:rPr>
        <w:t xml:space="preserve">          (Hochpreisig)  │      (OpenAI, Copilot)</w:t>
      </w:r>
      <w:r>
        <w:br/>
      </w:r>
      <w:r>
        <w:rPr>
          <w:rStyle w:val="VerbatimChar"/>
        </w:rPr>
        <w:t xml:space="preserve">                         │</w:t>
      </w:r>
      <w:r>
        <w:br/>
      </w:r>
      <w:r>
        <w:rPr>
          <w:rStyle w:val="VerbatimChar"/>
        </w:rPr>
        <w:t xml:space="preserve">                    CLOUD / DATEN EXTERN</w:t>
      </w:r>
    </w:p>
    <w:p>
      <w:pPr>
        <w:pStyle w:val="FirstParagraph"/>
      </w:pPr>
      <w:r>
        <w:t xml:space="preserve">PrivateMind besetzt den einzigen Quadranten, in dem kein starker Wettbewerber aktiv ist:</w:t>
      </w:r>
      <w:r>
        <w:t xml:space="preserve"> </w:t>
      </w:r>
      <w:r>
        <w:rPr>
          <w:b/>
          <w:bCs/>
        </w:rPr>
        <w:t xml:space="preserve">lokal + einfach</w:t>
      </w:r>
      <w:r>
        <w:t xml:space="preserve">.</w:t>
      </w:r>
    </w:p>
    <w:bookmarkEnd w:id="24"/>
    <w:bookmarkStart w:id="25" w:name="X629f3032d02d0034c7ab3ac64e7777aa105c3c2"/>
    <w:p>
      <w:pPr>
        <w:pStyle w:val="Heading3"/>
      </w:pPr>
      <w:r>
        <w:t xml:space="preserve">3.5 Differenzierungsmerkmale (Verteidigungsposition)</w:t>
      </w:r>
    </w:p>
    <w:p>
      <w:pPr>
        <w:pStyle w:val="Compact"/>
        <w:numPr>
          <w:ilvl w:val="0"/>
          <w:numId w:val="1006"/>
        </w:numPr>
      </w:pPr>
      <w:r>
        <w:rPr>
          <w:b/>
          <w:bCs/>
        </w:rPr>
        <w:t xml:space="preserve">Datensouveränität by Design</w:t>
      </w:r>
      <w:r>
        <w:t xml:space="preserve"> </w:t>
      </w:r>
      <w:r>
        <w:t xml:space="preserve">— Kein Datentransfer, keine Cloud-Abhängigkeit, DSGVO-konform out of the box. Dieses Argument ist in regulierten Branchen nicht überwindbar.</w:t>
      </w:r>
    </w:p>
    <w:p>
      <w:pPr>
        <w:pStyle w:val="Compact"/>
        <w:numPr>
          <w:ilvl w:val="0"/>
          <w:numId w:val="1006"/>
        </w:numPr>
      </w:pPr>
      <w:r>
        <w:rPr>
          <w:b/>
          <w:bCs/>
        </w:rPr>
        <w:t xml:space="preserve">Zero-Expertise-Betrieb</w:t>
      </w:r>
      <w:r>
        <w:t xml:space="preserve"> </w:t>
      </w:r>
      <w:r>
        <w:t xml:space="preserve">— Der Kunde muss keine KI-Kenntnisse haben. Plug-in, einschalten, nutzen.</w:t>
      </w:r>
    </w:p>
    <w:p>
      <w:pPr>
        <w:pStyle w:val="Compact"/>
        <w:numPr>
          <w:ilvl w:val="0"/>
          <w:numId w:val="1006"/>
        </w:numPr>
      </w:pPr>
      <w:r>
        <w:rPr>
          <w:b/>
          <w:bCs/>
        </w:rPr>
        <w:t xml:space="preserve">Laufende Betreuung</w:t>
      </w:r>
      <w:r>
        <w:t xml:space="preserve"> </w:t>
      </w:r>
      <w:r>
        <w:t xml:space="preserve">— Nicht kaufen und allein gelassen werden. Updates, Modelloptimierungen und Support sind Teil des Produkts.</w:t>
      </w:r>
    </w:p>
    <w:p>
      <w:pPr>
        <w:pStyle w:val="Compact"/>
        <w:numPr>
          <w:ilvl w:val="0"/>
          <w:numId w:val="1006"/>
        </w:numPr>
      </w:pPr>
      <w:r>
        <w:rPr>
          <w:b/>
          <w:bCs/>
        </w:rPr>
        <w:t xml:space="preserve">NVIDIA-Ökosystem</w:t>
      </w:r>
      <w:r>
        <w:t xml:space="preserve"> </w:t>
      </w:r>
      <w:r>
        <w:t xml:space="preserve">— Gleicher CUDA/TensorRT-LLM-Stack wie in Rechenzentren. Keine Kompromisse bei Modellqualität.</w:t>
      </w:r>
    </w:p>
    <w:p>
      <w:pPr>
        <w:pStyle w:val="Compact"/>
        <w:numPr>
          <w:ilvl w:val="0"/>
          <w:numId w:val="1006"/>
        </w:numPr>
      </w:pPr>
      <w:r>
        <w:rPr>
          <w:b/>
          <w:bCs/>
        </w:rPr>
        <w:t xml:space="preserve">Europäische Werte</w:t>
      </w:r>
      <w:r>
        <w:t xml:space="preserve"> </w:t>
      </w:r>
      <w:r>
        <w:t xml:space="preserve">— Ein deutsches Unternehmen, das europäisches Datenschutzrecht nicht als Marketingargument, sondern als Grundprinzip behandelt.</w:t>
      </w:r>
    </w:p>
    <w:p>
      <w:pPr>
        <w:pStyle w:val="Compact"/>
        <w:numPr>
          <w:ilvl w:val="0"/>
          <w:numId w:val="1006"/>
        </w:numPr>
      </w:pPr>
      <w:r>
        <w:rPr>
          <w:b/>
          <w:bCs/>
        </w:rPr>
        <w:t xml:space="preserve">Kosteneffizienz</w:t>
      </w:r>
      <w:r>
        <w:t xml:space="preserve"> </w:t>
      </w:r>
      <w:r>
        <w:t xml:space="preserve">— Durch ASUS GX10 als günstigstes GB10-System am Markt: bestmögliche Hardware zu niedrigstem Preis, weitergegeben an den Kunden.</w:t>
      </w:r>
    </w:p>
    <w:p>
      <w:r>
        <w:pict>
          <v:rect style="width:0;height:1.5pt" o:hralign="center" o:hrstd="t" o:hr="t"/>
        </w:pict>
      </w:r>
    </w:p>
    <w:bookmarkEnd w:id="25"/>
    <w:bookmarkEnd w:id="26"/>
    <w:bookmarkStart w:id="31" w:name="produkt-dienstleistung"/>
    <w:p>
      <w:pPr>
        <w:pStyle w:val="Heading2"/>
      </w:pPr>
      <w:r>
        <w:t xml:space="preserve">4. Produkt &amp; Dienstleistung</w:t>
      </w:r>
    </w:p>
    <w:bookmarkStart w:id="27" w:name="hardware-plattform-asus-ascent-gx10"/>
    <w:p>
      <w:pPr>
        <w:pStyle w:val="Heading3"/>
      </w:pPr>
      <w:r>
        <w:t xml:space="preserve">4.1 Hardware-Plattform: ASUS Ascent GX10</w:t>
      </w:r>
    </w:p>
    <w:p>
      <w:pPr>
        <w:pStyle w:val="FirstParagraph"/>
      </w:pPr>
      <w:r>
        <w:t xml:space="preserve">Alle PrivateMind-Appliances basieren auf dem ASUS Ascent GX10, der günstigsten verfügbaren Implementierung des NVIDIA GB10 Grace Blackwell Superchips.</w:t>
      </w:r>
    </w:p>
    <w:p>
      <w:pPr>
        <w:pStyle w:val="BodyText"/>
      </w:pPr>
      <w:r>
        <w:rPr>
          <w:b/>
          <w:bCs/>
        </w:rPr>
        <w:t xml:space="preserve">Technische Eckdaten (pro Gerät):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Merkmal</w:t>
            </w:r>
          </w:p>
        </w:tc>
        <w:tc>
          <w:tcPr/>
          <w:p>
            <w:pPr>
              <w:pStyle w:val="Compact"/>
            </w:pPr>
            <w:r>
              <w:t xml:space="preserve">Spezifikation</w:t>
            </w:r>
          </w:p>
        </w:tc>
        <w:tc>
          <w:tcPr/>
          <w:p>
            <w:pPr>
              <w:pStyle w:val="Compact"/>
            </w:pPr>
            <w:r>
              <w:t xml:space="preserve">Relevanz für PrivateMind</w:t>
            </w:r>
          </w:p>
        </w:tc>
      </w:tr>
      <w:tr>
        <w:tc>
          <w:tcPr/>
          <w:p>
            <w:pPr>
              <w:pStyle w:val="Compact"/>
            </w:pPr>
            <w:r>
              <w:t xml:space="preserve">Chip</w:t>
            </w:r>
          </w:p>
        </w:tc>
        <w:tc>
          <w:tcPr/>
          <w:p>
            <w:pPr>
              <w:pStyle w:val="Compact"/>
            </w:pPr>
            <w:r>
              <w:t xml:space="preserve">NVIDIA GB10 (Grace Blackwell)</w:t>
            </w:r>
          </w:p>
        </w:tc>
        <w:tc>
          <w:tcPr/>
          <w:p>
            <w:pPr>
              <w:pStyle w:val="Compact"/>
            </w:pPr>
            <w:r>
              <w:t xml:space="preserve">Aktuelle Generation, Nachfolger der A100-Ära</w:t>
            </w:r>
          </w:p>
        </w:tc>
      </w:tr>
      <w:tr>
        <w:tc>
          <w:tcPr/>
          <w:p>
            <w:pPr>
              <w:pStyle w:val="Compact"/>
            </w:pPr>
            <w:r>
              <w:t xml:space="preserve">GPU</w:t>
            </w:r>
          </w:p>
        </w:tc>
        <w:tc>
          <w:tcPr/>
          <w:p>
            <w:pPr>
              <w:pStyle w:val="Compact"/>
            </w:pPr>
            <w:r>
              <w:t xml:space="preserve">Blackwell B1, 1 PFLOP FP4 KI-Leistung</w:t>
            </w:r>
          </w:p>
        </w:tc>
        <w:tc>
          <w:tcPr/>
          <w:p>
            <w:pPr>
              <w:pStyle w:val="Compact"/>
            </w:pPr>
            <w:r>
              <w:t xml:space="preserve">Ausreichend für 70B-Modelle in Echtzeit</w:t>
            </w:r>
          </w:p>
        </w:tc>
      </w:tr>
      <w:tr>
        <w:tc>
          <w:tcPr/>
          <w:p>
            <w:pPr>
              <w:pStyle w:val="Compact"/>
            </w:pPr>
            <w:r>
              <w:t xml:space="preserve">RAM</w:t>
            </w:r>
          </w:p>
        </w:tc>
        <w:tc>
          <w:tcPr/>
          <w:p>
            <w:pPr>
              <w:pStyle w:val="Compact"/>
            </w:pPr>
            <w:r>
              <w:t xml:space="preserve">128 GB LPDDR5X Unified Memory</w:t>
            </w:r>
          </w:p>
        </w:tc>
        <w:tc>
          <w:tcPr/>
          <w:p>
            <w:pPr>
              <w:pStyle w:val="Compact"/>
            </w:pPr>
            <w:r>
              <w:t xml:space="preserve">CPU &amp; GPU teilen sich Speicher — entscheidend für große Modelle</w:t>
            </w:r>
          </w:p>
        </w:tc>
      </w:tr>
      <w:tr>
        <w:tc>
          <w:tcPr/>
          <w:p>
            <w:pPr>
              <w:pStyle w:val="Compact"/>
            </w:pPr>
            <w:r>
              <w:t xml:space="preserve">Speicher</w:t>
            </w:r>
          </w:p>
        </w:tc>
        <w:tc>
          <w:tcPr/>
          <w:p>
            <w:pPr>
              <w:pStyle w:val="Compact"/>
            </w:pPr>
            <w:r>
              <w:t xml:space="preserve">1 TB / 2 TB / 4 TB NVMe SSD</w:t>
            </w:r>
          </w:p>
        </w:tc>
        <w:tc>
          <w:tcPr/>
          <w:p>
            <w:pPr>
              <w:pStyle w:val="Compact"/>
            </w:pPr>
            <w:r>
              <w:t xml:space="preserve">Modelle benötigen 40–80 GB; 1 TB = 2–3 Modelle gleichzeitig vorgehalten</w:t>
            </w:r>
          </w:p>
        </w:tc>
      </w:tr>
      <w:tr>
        <w:tc>
          <w:tcPr/>
          <w:p>
            <w:pPr>
              <w:pStyle w:val="Compact"/>
            </w:pPr>
            <w:r>
              <w:t xml:space="preserve">Netzwerk</w:t>
            </w:r>
          </w:p>
        </w:tc>
        <w:tc>
          <w:tcPr/>
          <w:p>
            <w:pPr>
              <w:pStyle w:val="Compact"/>
            </w:pPr>
            <w:r>
              <w:t xml:space="preserve">ConnectX-7 200Gbps, 10GbE, Wi-Fi 7</w:t>
            </w:r>
          </w:p>
        </w:tc>
        <w:tc>
          <w:tcPr/>
          <w:p>
            <w:pPr>
              <w:pStyle w:val="Compact"/>
            </w:pPr>
            <w:r>
              <w:t xml:space="preserve">Hochgeschwindigkeits-Clustering und Netzwerkintegration</w:t>
            </w:r>
          </w:p>
        </w:tc>
      </w:tr>
      <w:tr>
        <w:tc>
          <w:tcPr/>
          <w:p>
            <w:pPr>
              <w:pStyle w:val="Compact"/>
            </w:pPr>
            <w:r>
              <w:t xml:space="preserve">Clustering</w:t>
            </w:r>
          </w:p>
        </w:tc>
        <w:tc>
          <w:tcPr/>
          <w:p>
            <w:pPr>
              <w:pStyle w:val="Compact"/>
            </w:pPr>
            <w:r>
              <w:t xml:space="preserve">2 Geräte via QSFP-Kabel verbindbar → 256 GB Speicherpool</w:t>
            </w:r>
          </w:p>
        </w:tc>
        <w:tc>
          <w:tcPr/>
          <w:p>
            <w:pPr>
              <w:pStyle w:val="Compact"/>
            </w:pPr>
            <w:r>
              <w:t xml:space="preserve">Ermöglicht 200B+ Parameter Modelle</w:t>
            </w:r>
          </w:p>
        </w:tc>
      </w:tr>
      <w:tr>
        <w:tc>
          <w:tcPr/>
          <w:p>
            <w:pPr>
              <w:pStyle w:val="Compact"/>
            </w:pPr>
            <w:r>
              <w:t xml:space="preserve">Formfaktor</w:t>
            </w:r>
          </w:p>
        </w:tc>
        <w:tc>
          <w:tcPr/>
          <w:p>
            <w:pPr>
              <w:pStyle w:val="Compact"/>
            </w:pPr>
            <w:r>
              <w:t xml:space="preserve">150 × 150 × 51 mm, 1,48 kg</w:t>
            </w:r>
          </w:p>
        </w:tc>
        <w:tc>
          <w:tcPr/>
          <w:p>
            <w:pPr>
              <w:pStyle w:val="Compact"/>
            </w:pPr>
            <w:r>
              <w:t xml:space="preserve">Passt auf jeden Schreibtisch, kein Serverraum nötig</w:t>
            </w:r>
          </w:p>
        </w:tc>
      </w:tr>
      <w:tr>
        <w:tc>
          <w:tcPr/>
          <w:p>
            <w:pPr>
              <w:pStyle w:val="Compact"/>
            </w:pPr>
            <w:r>
              <w:t xml:space="preserve">Stromverbrauch</w:t>
            </w:r>
          </w:p>
        </w:tc>
        <w:tc>
          <w:tcPr/>
          <w:p>
            <w:pPr>
              <w:pStyle w:val="Compact"/>
            </w:pPr>
            <w:r>
              <w:t xml:space="preserve">240W (USB-C Netzteil)</w:t>
            </w:r>
          </w:p>
        </w:tc>
        <w:tc>
          <w:tcPr/>
          <w:p>
            <w:pPr>
              <w:pStyle w:val="Compact"/>
            </w:pPr>
            <w:r>
              <w:t xml:space="preserve">Wie ein Gaming-PC — normale Büroinfrastruktur ausreichend</w:t>
            </w:r>
          </w:p>
        </w:tc>
      </w:tr>
      <w:tr>
        <w:tc>
          <w:tcPr/>
          <w:p>
            <w:pPr>
              <w:pStyle w:val="Compact"/>
            </w:pPr>
            <w:r>
              <w:t xml:space="preserve">Betriebssystem</w:t>
            </w:r>
          </w:p>
        </w:tc>
        <w:tc>
          <w:tcPr/>
          <w:p>
            <w:pPr>
              <w:pStyle w:val="Compact"/>
            </w:pPr>
            <w:r>
              <w:t xml:space="preserve">NVIDIA DGX OS (Ubuntu 22.04-basiert)</w:t>
            </w:r>
          </w:p>
        </w:tc>
        <w:tc>
          <w:tcPr/>
          <w:p>
            <w:pPr>
              <w:pStyle w:val="Compact"/>
            </w:pPr>
            <w:r>
              <w:t xml:space="preserve">Vollständiger NVIDIA-Software-Stack vorinstalliert</w:t>
            </w:r>
          </w:p>
        </w:tc>
      </w:tr>
      <w:tr>
        <w:tc>
          <w:tcPr/>
          <w:p>
            <w:pPr>
              <w:pStyle w:val="Compact"/>
            </w:pPr>
            <w:r>
              <w:t xml:space="preserve">Kühlsystem</w:t>
            </w:r>
          </w:p>
        </w:tc>
        <w:tc>
          <w:tcPr/>
          <w:p>
            <w:pPr>
              <w:pStyle w:val="Compact"/>
            </w:pPr>
            <w:r>
              <w:t xml:space="preserve">Aktiv, lüftergesteuert</w:t>
            </w:r>
          </w:p>
        </w:tc>
        <w:tc>
          <w:tcPr/>
          <w:p>
            <w:pPr>
              <w:pStyle w:val="Compact"/>
            </w:pPr>
            <w:r>
              <w:t xml:space="preserve">Leise genug für Büroumgebung</w:t>
            </w:r>
          </w:p>
        </w:tc>
      </w:tr>
    </w:tbl>
    <w:p>
      <w:pPr>
        <w:pStyle w:val="BodyText"/>
      </w:pPr>
      <w:r>
        <w:rPr>
          <w:b/>
          <w:bCs/>
        </w:rPr>
        <w:t xml:space="preserve">Inferenzleistung (Richtwerte für Planungszwecke):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Modell</w:t>
            </w:r>
          </w:p>
        </w:tc>
        <w:tc>
          <w:tcPr/>
          <w:p>
            <w:pPr>
              <w:pStyle w:val="Compact"/>
            </w:pPr>
            <w:r>
              <w:t xml:space="preserve">Parameter</w:t>
            </w:r>
          </w:p>
        </w:tc>
        <w:tc>
          <w:tcPr/>
          <w:p>
            <w:pPr>
              <w:pStyle w:val="Compact"/>
            </w:pPr>
            <w:r>
              <w:t xml:space="preserve">Format</w:t>
            </w:r>
          </w:p>
        </w:tc>
        <w:tc>
          <w:tcPr/>
          <w:p>
            <w:pPr>
              <w:pStyle w:val="Compact"/>
            </w:pPr>
            <w:r>
              <w:t xml:space="preserve">Tokens/Sekunde (ca.)</w:t>
            </w:r>
          </w:p>
        </w:tc>
        <w:tc>
          <w:tcPr/>
          <w:p>
            <w:pPr>
              <w:pStyle w:val="Compact"/>
            </w:pPr>
            <w:r>
              <w:t xml:space="preserve">Praxisbedeutung</w:t>
            </w:r>
          </w:p>
        </w:tc>
      </w:tr>
      <w:tr>
        <w:tc>
          <w:tcPr/>
          <w:p>
            <w:pPr>
              <w:pStyle w:val="Compact"/>
            </w:pPr>
            <w:r>
              <w:t xml:space="preserve">Llama 3.3 Instruct</w:t>
            </w:r>
          </w:p>
        </w:tc>
        <w:tc>
          <w:tcPr/>
          <w:p>
            <w:pPr>
              <w:pStyle w:val="Compact"/>
            </w:pPr>
            <w:r>
              <w:t xml:space="preserve">70B</w:t>
            </w:r>
          </w:p>
        </w:tc>
        <w:tc>
          <w:tcPr/>
          <w:p>
            <w:pPr>
              <w:pStyle w:val="Compact"/>
            </w:pPr>
            <w:r>
              <w:t xml:space="preserve">FP16</w:t>
            </w:r>
          </w:p>
        </w:tc>
        <w:tc>
          <w:tcPr/>
          <w:p>
            <w:pPr>
              <w:pStyle w:val="Compact"/>
            </w:pPr>
            <w:r>
              <w:t xml:space="preserve">~25–35 tok/s</w:t>
            </w:r>
          </w:p>
        </w:tc>
        <w:tc>
          <w:tcPr/>
          <w:p>
            <w:pPr>
              <w:pStyle w:val="Compact"/>
            </w:pPr>
            <w:r>
              <w:t xml:space="preserve">Flüssige Konversation, Enterprise-Qualität</w:t>
            </w:r>
          </w:p>
        </w:tc>
      </w:tr>
      <w:tr>
        <w:tc>
          <w:tcPr/>
          <w:p>
            <w:pPr>
              <w:pStyle w:val="Compact"/>
            </w:pPr>
            <w:r>
              <w:t xml:space="preserve">Llama 3.1</w:t>
            </w:r>
          </w:p>
        </w:tc>
        <w:tc>
          <w:tcPr/>
          <w:p>
            <w:pPr>
              <w:pStyle w:val="Compact"/>
            </w:pPr>
            <w:r>
              <w:t xml:space="preserve">405B</w:t>
            </w:r>
          </w:p>
        </w:tc>
        <w:tc>
          <w:tcPr/>
          <w:p>
            <w:pPr>
              <w:pStyle w:val="Compact"/>
            </w:pPr>
            <w:r>
              <w:t xml:space="preserve">INT4</w:t>
            </w:r>
          </w:p>
        </w:tc>
        <w:tc>
          <w:tcPr/>
          <w:p>
            <w:pPr>
              <w:pStyle w:val="Compact"/>
            </w:pPr>
            <w:r>
              <w:t xml:space="preserve">~8–15 tok/s</w:t>
            </w:r>
          </w:p>
        </w:tc>
        <w:tc>
          <w:tcPr/>
          <w:p>
            <w:pPr>
              <w:pStyle w:val="Compact"/>
            </w:pPr>
            <w:r>
              <w:t xml:space="preserve">Leistungsfähigstes Open-Weight-Modell</w:t>
            </w:r>
          </w:p>
        </w:tc>
      </w:tr>
      <w:tr>
        <w:tc>
          <w:tcPr/>
          <w:p>
            <w:pPr>
              <w:pStyle w:val="Compact"/>
            </w:pPr>
            <w:r>
              <w:t xml:space="preserve">DeepSeek-R1</w:t>
            </w:r>
          </w:p>
        </w:tc>
        <w:tc>
          <w:tcPr/>
          <w:p>
            <w:pPr>
              <w:pStyle w:val="Compact"/>
            </w:pPr>
            <w:r>
              <w:t xml:space="preserve">70B</w:t>
            </w:r>
          </w:p>
        </w:tc>
        <w:tc>
          <w:tcPr/>
          <w:p>
            <w:pPr>
              <w:pStyle w:val="Compact"/>
            </w:pPr>
            <w:r>
              <w:t xml:space="preserve">FP16</w:t>
            </w:r>
          </w:p>
        </w:tc>
        <w:tc>
          <w:tcPr/>
          <w:p>
            <w:pPr>
              <w:pStyle w:val="Compact"/>
            </w:pPr>
            <w:r>
              <w:t xml:space="preserve">~25–35 tok/s</w:t>
            </w:r>
          </w:p>
        </w:tc>
        <w:tc>
          <w:tcPr/>
          <w:p>
            <w:pPr>
              <w:pStyle w:val="Compact"/>
            </w:pPr>
            <w:r>
              <w:t xml:space="preserve">Stark bei Reasoning, Analyse</w:t>
            </w:r>
          </w:p>
        </w:tc>
      </w:tr>
      <w:tr>
        <w:tc>
          <w:tcPr/>
          <w:p>
            <w:pPr>
              <w:pStyle w:val="Compact"/>
            </w:pPr>
            <w:r>
              <w:t xml:space="preserve">Qwen2.5</w:t>
            </w:r>
          </w:p>
        </w:tc>
        <w:tc>
          <w:tcPr/>
          <w:p>
            <w:pPr>
              <w:pStyle w:val="Compact"/>
            </w:pPr>
            <w:r>
              <w:t xml:space="preserve">72B</w:t>
            </w:r>
          </w:p>
        </w:tc>
        <w:tc>
          <w:tcPr/>
          <w:p>
            <w:pPr>
              <w:pStyle w:val="Compact"/>
            </w:pPr>
            <w:r>
              <w:t xml:space="preserve">FP16</w:t>
            </w:r>
          </w:p>
        </w:tc>
        <w:tc>
          <w:tcPr/>
          <w:p>
            <w:pPr>
              <w:pStyle w:val="Compact"/>
            </w:pPr>
            <w:r>
              <w:t xml:space="preserve">~25–35 tok/s</w:t>
            </w:r>
          </w:p>
        </w:tc>
        <w:tc>
          <w:tcPr/>
          <w:p>
            <w:pPr>
              <w:pStyle w:val="Compact"/>
            </w:pPr>
            <w:r>
              <w:t xml:space="preserve">Mehrsprachigkeit, Dokumente</w:t>
            </w:r>
          </w:p>
        </w:tc>
      </w:tr>
      <w:tr>
        <w:tc>
          <w:tcPr/>
          <w:p>
            <w:pPr>
              <w:pStyle w:val="Compact"/>
            </w:pPr>
            <w:r>
              <w:t xml:space="preserve">Gemma 3</w:t>
            </w:r>
          </w:p>
        </w:tc>
        <w:tc>
          <w:tcPr/>
          <w:p>
            <w:pPr>
              <w:pStyle w:val="Compact"/>
            </w:pPr>
            <w:r>
              <w:t xml:space="preserve">27B</w:t>
            </w:r>
          </w:p>
        </w:tc>
        <w:tc>
          <w:tcPr/>
          <w:p>
            <w:pPr>
              <w:pStyle w:val="Compact"/>
            </w:pPr>
            <w:r>
              <w:t xml:space="preserve">FP16</w:t>
            </w:r>
          </w:p>
        </w:tc>
        <w:tc>
          <w:tcPr/>
          <w:p>
            <w:pPr>
              <w:pStyle w:val="Compact"/>
            </w:pPr>
            <w:r>
              <w:t xml:space="preserve">~60–80 tok/s</w:t>
            </w:r>
          </w:p>
        </w:tc>
        <w:tc>
          <w:tcPr/>
          <w:p>
            <w:pPr>
              <w:pStyle w:val="Compact"/>
            </w:pPr>
            <w:r>
              <w:t xml:space="preserve">Schnell, gut für Zusammenfassungen</w:t>
            </w:r>
          </w:p>
        </w:tc>
      </w:tr>
    </w:tbl>
    <w:p>
      <w:pPr>
        <w:pStyle w:val="BodyText"/>
      </w:pPr>
      <w:r>
        <w:rPr>
          <w:i/>
          <w:iCs/>
        </w:rPr>
        <w:t xml:space="preserve">Cluster (2× GX10): verdoppelt Durchsatz, ermöglicht 200B FP16 / 405B INT4.</w:t>
      </w:r>
    </w:p>
    <w:p>
      <w:pPr>
        <w:pStyle w:val="BodyText"/>
      </w:pPr>
      <w:r>
        <w:rPr>
          <w:b/>
          <w:bCs/>
        </w:rPr>
        <w:t xml:space="preserve">Warum ASUS — und nicht NVIDIA direkt oder andere OEMs:</w:t>
      </w:r>
    </w:p>
    <w:p>
      <w:pPr>
        <w:pStyle w:val="BodyText"/>
      </w:pPr>
      <w:r>
        <w:t xml:space="preserve">ASUS ist der einzige OEM, der den GX10 in drei SSD-Konfigurationen anbietet und dabei preislich deutlich unter dem NVIDIA DGX Spark liegt (bis zu €1.750 günstiger bei gleicher Chip-Performance). Entscheidend: ASUS bietet keinen dedizierten Support für dieses Gerät — genau hier liegt einer der wichtigsten USPs von PrivateMind.</w:t>
      </w:r>
    </w:p>
    <w:p>
      <w:pPr>
        <w:pStyle w:val="BodyText"/>
      </w:pPr>
      <w:r>
        <w:rPr>
          <w:b/>
          <w:bCs/>
        </w:rPr>
        <w:t xml:space="preserve">Backup-Lieferanten:</w:t>
      </w:r>
      <w:r>
        <w:t xml:space="preserve"> </w:t>
      </w:r>
      <w:r>
        <w:t xml:space="preserve">Dell Pro Max GB10, Lenovo PGX, HP ZGX — gleiche Hardware, höherer Preis, aber mit Hersteller-Support (relevant als Backup bei Lieferengpässen).</w:t>
      </w:r>
    </w:p>
    <w:bookmarkEnd w:id="27"/>
    <w:bookmarkStart w:id="28" w:name="produktlinien"/>
    <w:p>
      <w:pPr>
        <w:pStyle w:val="Heading3"/>
      </w:pPr>
      <w:r>
        <w:t xml:space="preserve">4.2 Produktlinien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PrivateMind Standard</w:t>
            </w:r>
          </w:p>
        </w:tc>
        <w:tc>
          <w:tcPr/>
          <w:p>
            <w:pPr>
              <w:pStyle w:val="Compact"/>
            </w:pPr>
            <w:r>
              <w:rPr>
                <w:b/>
                <w:bCs/>
              </w:rPr>
              <w:t xml:space="preserve">PrivateMind Professional</w:t>
            </w:r>
          </w:p>
        </w:tc>
        <w:tc>
          <w:tcPr/>
          <w:p>
            <w:pPr>
              <w:pStyle w:val="Compact"/>
            </w:pPr>
            <w:r>
              <w:rPr>
                <w:b/>
                <w:bCs/>
              </w:rPr>
              <w:t xml:space="preserve">PrivateMind Premium</w:t>
            </w:r>
          </w:p>
        </w:tc>
      </w:tr>
      <w:tr>
        <w:tc>
          <w:tcPr/>
          <w:p>
            <w:pPr>
              <w:pStyle w:val="Compact"/>
            </w:pPr>
            <w:r>
              <w:t xml:space="preserve">Hardware</w:t>
            </w:r>
          </w:p>
        </w:tc>
        <w:tc>
          <w:tcPr/>
          <w:p>
            <w:pPr>
              <w:pStyle w:val="Compact"/>
            </w:pPr>
            <w:r>
              <w:t xml:space="preserve">1× ASUS Ascent GX10</w:t>
            </w:r>
          </w:p>
        </w:tc>
        <w:tc>
          <w:tcPr/>
          <w:p>
            <w:pPr>
              <w:pStyle w:val="Compact"/>
            </w:pPr>
            <w:r>
              <w:t xml:space="preserve">1× ASUS Ascent GX10</w:t>
            </w:r>
          </w:p>
        </w:tc>
        <w:tc>
          <w:tcPr/>
          <w:p>
            <w:pPr>
              <w:pStyle w:val="Compact"/>
            </w:pPr>
            <w:r>
              <w:t xml:space="preserve">2× ASUS Ascent GX10 (Cluster)</w:t>
            </w:r>
          </w:p>
        </w:tc>
      </w:tr>
      <w:tr>
        <w:tc>
          <w:tcPr/>
          <w:p>
            <w:pPr>
              <w:pStyle w:val="Compact"/>
            </w:pPr>
            <w:r>
              <w:t xml:space="preserve">SSD</w:t>
            </w:r>
          </w:p>
        </w:tc>
        <w:tc>
          <w:tcPr/>
          <w:p>
            <w:pPr>
              <w:pStyle w:val="Compact"/>
            </w:pPr>
            <w:r>
              <w:t xml:space="preserve">1 TB</w:t>
            </w:r>
          </w:p>
        </w:tc>
        <w:tc>
          <w:tcPr/>
          <w:p>
            <w:pPr>
              <w:pStyle w:val="Compact"/>
            </w:pPr>
            <w:r>
              <w:t xml:space="preserve">2 TB</w:t>
            </w:r>
          </w:p>
        </w:tc>
        <w:tc>
          <w:tcPr/>
          <w:p>
            <w:pPr>
              <w:pStyle w:val="Compact"/>
            </w:pPr>
            <w:r>
              <w:t xml:space="preserve">2× 2 TB</w:t>
            </w:r>
          </w:p>
        </w:tc>
      </w:tr>
      <w:tr>
        <w:tc>
          <w:tcPr/>
          <w:p>
            <w:pPr>
              <w:pStyle w:val="Compact"/>
            </w:pPr>
            <w:r>
              <w:t xml:space="preserve">Unified Memory</w:t>
            </w:r>
          </w:p>
        </w:tc>
        <w:tc>
          <w:tcPr/>
          <w:p>
            <w:pPr>
              <w:pStyle w:val="Compact"/>
            </w:pPr>
            <w:r>
              <w:t xml:space="preserve">128 GB</w:t>
            </w:r>
          </w:p>
        </w:tc>
        <w:tc>
          <w:tcPr/>
          <w:p>
            <w:pPr>
              <w:pStyle w:val="Compact"/>
            </w:pPr>
            <w:r>
              <w:t xml:space="preserve">128 GB</w:t>
            </w:r>
          </w:p>
        </w:tc>
        <w:tc>
          <w:tcPr/>
          <w:p>
            <w:pPr>
              <w:pStyle w:val="Compact"/>
            </w:pPr>
            <w:r>
              <w:t xml:space="preserve">256 GB</w:t>
            </w:r>
          </w:p>
        </w:tc>
      </w:tr>
      <w:tr>
        <w:tc>
          <w:tcPr/>
          <w:p>
            <w:pPr>
              <w:pStyle w:val="Compact"/>
            </w:pPr>
            <w:r>
              <w:t xml:space="preserve">Max. Modellgröße</w:t>
            </w:r>
          </w:p>
        </w:tc>
        <w:tc>
          <w:tcPr/>
          <w:p>
            <w:pPr>
              <w:pStyle w:val="Compact"/>
            </w:pPr>
            <w:r>
              <w:t xml:space="preserve">70B (FP16), 200B (4-bit)</w:t>
            </w:r>
          </w:p>
        </w:tc>
        <w:tc>
          <w:tcPr/>
          <w:p>
            <w:pPr>
              <w:pStyle w:val="Compact"/>
            </w:pPr>
            <w:r>
              <w:t xml:space="preserve">70B (FP16), 200B (4-bit)</w:t>
            </w:r>
          </w:p>
        </w:tc>
        <w:tc>
          <w:tcPr/>
          <w:p>
            <w:pPr>
              <w:pStyle w:val="Compact"/>
            </w:pPr>
            <w:r>
              <w:t xml:space="preserve">200B (FP16), 405B (4-bit)</w:t>
            </w:r>
          </w:p>
        </w:tc>
      </w:tr>
      <w:tr>
        <w:tc>
          <w:tcPr/>
          <w:p>
            <w:pPr>
              <w:pStyle w:val="Compact"/>
            </w:pPr>
            <w:r>
              <w:t xml:space="preserve">Zielgruppe</w:t>
            </w:r>
          </w:p>
        </w:tc>
        <w:tc>
          <w:tcPr/>
          <w:p>
            <w:pPr>
              <w:pStyle w:val="Compact"/>
            </w:pPr>
            <w:r>
              <w:t xml:space="preserve">Kleine Kanzleien, Praxen, Einzelkämpfer</w:t>
            </w:r>
          </w:p>
        </w:tc>
        <w:tc>
          <w:tcPr/>
          <w:p>
            <w:pPr>
              <w:pStyle w:val="Compact"/>
            </w:pPr>
            <w:r>
              <w:t xml:space="preserve">Mittelstand, Teams, mehrere Nutzer</w:t>
            </w:r>
          </w:p>
        </w:tc>
        <w:tc>
          <w:tcPr/>
          <w:p>
            <w:pPr>
              <w:pStyle w:val="Compact"/>
            </w:pPr>
            <w:r>
              <w:t xml:space="preserve">Große Teams, höchste Modellqualität</w:t>
            </w:r>
          </w:p>
        </w:tc>
      </w:tr>
      <w:tr>
        <w:tc>
          <w:tcPr/>
          <w:p>
            <w:pPr>
              <w:pStyle w:val="Compact"/>
            </w:pPr>
            <w:r>
              <w:t xml:space="preserve">Gleichzeitige Nutzer (ca.)</w:t>
            </w:r>
          </w:p>
        </w:tc>
        <w:tc>
          <w:tcPr/>
          <w:p>
            <w:pPr>
              <w:pStyle w:val="Compact"/>
            </w:pPr>
            <w:r>
              <w:t xml:space="preserve">3–8</w:t>
            </w:r>
          </w:p>
        </w:tc>
        <w:tc>
          <w:tcPr/>
          <w:p>
            <w:pPr>
              <w:pStyle w:val="Compact"/>
            </w:pPr>
            <w:r>
              <w:t xml:space="preserve">3–8</w:t>
            </w:r>
          </w:p>
        </w:tc>
        <w:tc>
          <w:tcPr/>
          <w:p>
            <w:pPr>
              <w:pStyle w:val="Compact"/>
            </w:pPr>
            <w:r>
              <w:t xml:space="preserve">8–20</w:t>
            </w:r>
          </w:p>
        </w:tc>
      </w:tr>
      <w:tr>
        <w:tc>
          <w:tcPr/>
          <w:p>
            <w:pPr>
              <w:pStyle w:val="Compact"/>
            </w:pPr>
            <w:r>
              <w:rPr>
                <w:b/>
                <w:bCs/>
              </w:rPr>
              <w:t xml:space="preserve">Hardware-EK (ca.)</w:t>
            </w:r>
          </w:p>
        </w:tc>
        <w:tc>
          <w:tcPr/>
          <w:p>
            <w:pPr>
              <w:pStyle w:val="Compact"/>
            </w:pPr>
            <w:r>
              <w:rPr>
                <w:b/>
                <w:bCs/>
              </w:rPr>
              <w:t xml:space="preserve">~€3.050</w:t>
            </w:r>
          </w:p>
        </w:tc>
        <w:tc>
          <w:tcPr/>
          <w:p>
            <w:pPr>
              <w:pStyle w:val="Compact"/>
            </w:pPr>
            <w:r>
              <w:rPr>
                <w:b/>
                <w:bCs/>
              </w:rPr>
              <w:t xml:space="preserve">~€3.550</w:t>
            </w:r>
          </w:p>
        </w:tc>
        <w:tc>
          <w:tcPr/>
          <w:p>
            <w:pPr>
              <w:pStyle w:val="Compact"/>
            </w:pPr>
            <w:r>
              <w:rPr>
                <w:b/>
                <w:bCs/>
              </w:rPr>
              <w:t xml:space="preserve">~€7.100</w:t>
            </w:r>
          </w:p>
        </w:tc>
      </w:tr>
      <w:tr>
        <w:tc>
          <w:tcPr/>
          <w:p>
            <w:pPr>
              <w:pStyle w:val="Compact"/>
            </w:pPr>
            <w:r>
              <w:rPr>
                <w:b/>
                <w:bCs/>
              </w:rPr>
              <w:t xml:space="preserve">Hardware-VK (ca.)</w:t>
            </w:r>
          </w:p>
        </w:tc>
        <w:tc>
          <w:tcPr/>
          <w:p>
            <w:pPr>
              <w:pStyle w:val="Compact"/>
            </w:pPr>
            <w:r>
              <w:rPr>
                <w:b/>
                <w:bCs/>
              </w:rPr>
              <w:t xml:space="preserve">€3.800</w:t>
            </w:r>
          </w:p>
        </w:tc>
        <w:tc>
          <w:tcPr/>
          <w:p>
            <w:pPr>
              <w:pStyle w:val="Compact"/>
            </w:pPr>
            <w:r>
              <w:rPr>
                <w:b/>
                <w:bCs/>
              </w:rPr>
              <w:t xml:space="preserve">€4.500</w:t>
            </w:r>
          </w:p>
        </w:tc>
        <w:tc>
          <w:tcPr/>
          <w:p>
            <w:pPr>
              <w:pStyle w:val="Compact"/>
            </w:pPr>
            <w:r>
              <w:rPr>
                <w:b/>
                <w:bCs/>
              </w:rPr>
              <w:t xml:space="preserve">€9.500</w:t>
            </w:r>
          </w:p>
        </w:tc>
      </w:tr>
      <w:tr>
        <w:tc>
          <w:tcPr/>
          <w:p>
            <w:pPr>
              <w:pStyle w:val="Compact"/>
            </w:pPr>
            <w:r>
              <w:rPr>
                <w:b/>
                <w:bCs/>
              </w:rPr>
              <w:t xml:space="preserve">Hardware-Marge</w:t>
            </w:r>
          </w:p>
        </w:tc>
        <w:tc>
          <w:tcPr/>
          <w:p>
            <w:pPr>
              <w:pStyle w:val="Compact"/>
            </w:pPr>
            <w:r>
              <w:rPr>
                <w:b/>
                <w:bCs/>
              </w:rPr>
              <w:t xml:space="preserve">~€750</w:t>
            </w:r>
          </w:p>
        </w:tc>
        <w:tc>
          <w:tcPr/>
          <w:p>
            <w:pPr>
              <w:pStyle w:val="Compact"/>
            </w:pPr>
            <w:r>
              <w:rPr>
                <w:b/>
                <w:bCs/>
              </w:rPr>
              <w:t xml:space="preserve">~€950</w:t>
            </w:r>
          </w:p>
        </w:tc>
        <w:tc>
          <w:tcPr/>
          <w:p>
            <w:pPr>
              <w:pStyle w:val="Compact"/>
            </w:pPr>
            <w:r>
              <w:rPr>
                <w:b/>
                <w:bCs/>
              </w:rPr>
              <w:t xml:space="preserve">~€2.400</w:t>
            </w:r>
          </w:p>
        </w:tc>
      </w:tr>
    </w:tbl>
    <w:bookmarkEnd w:id="28"/>
    <w:bookmarkStart w:id="29" w:name="software-stack-eigenentwickelt-kuratiert"/>
    <w:p>
      <w:pPr>
        <w:pStyle w:val="Heading3"/>
      </w:pPr>
      <w:r>
        <w:t xml:space="preserve">4.3 Software-Stack (eigenentwickelt &amp; kuratiert)</w:t>
      </w:r>
    </w:p>
    <w:p>
      <w:pPr>
        <w:pStyle w:val="FirstParagraph"/>
      </w:pPr>
      <w:r>
        <w:rPr>
          <w:b/>
          <w:bCs/>
        </w:rPr>
        <w:t xml:space="preserve">Basis-Stack (mitgeliefert):</w:t>
      </w:r>
      <w:r>
        <w:t xml:space="preserve"> </w:t>
      </w:r>
      <w:r>
        <w:t xml:space="preserve">- NVIDIA DGX OS mit CUDA 13, cuDNN, TensorRT-LLM — vollständiger ML-Stack</w:t>
      </w:r>
      <w:r>
        <w:t xml:space="preserve"> </w:t>
      </w:r>
      <w:r>
        <w:t xml:space="preserve">- Docker + container-basierte Modell-Isolation</w:t>
      </w:r>
      <w:r>
        <w:t xml:space="preserve"> </w:t>
      </w:r>
      <w:r>
        <w:t xml:space="preserve">- Ollama-kompatibles Serving-Layer für standardisierte Model-API</w:t>
      </w:r>
    </w:p>
    <w:p>
      <w:pPr>
        <w:pStyle w:val="BodyText"/>
      </w:pPr>
      <w:r>
        <w:rPr>
          <w:b/>
          <w:bCs/>
        </w:rPr>
        <w:t xml:space="preserve">PrivateMind Dashboard (Eigenentwicklung — MVP Priorität):</w:t>
      </w:r>
      <w:r>
        <w:t xml:space="preserve"> </w:t>
      </w:r>
      <w:r>
        <w:t xml:space="preserve">Das Dashboard ist das primäre Differenzierungsmerkmal auf Software-Seite. Zielgruppe: nicht-technische Nutzer.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w:t>
            </w:r>
          </w:p>
        </w:tc>
        <w:tc>
          <w:tcPr/>
          <w:p>
            <w:pPr>
              <w:pStyle w:val="Compact"/>
            </w:pPr>
            <w:r>
              <w:t xml:space="preserve">Funktionsumfang</w:t>
            </w:r>
          </w:p>
        </w:tc>
        <w:tc>
          <w:tcPr/>
          <w:p>
            <w:pPr>
              <w:pStyle w:val="Compact"/>
            </w:pPr>
            <w:r>
              <w:t xml:space="preserve">MVP (Monat 4)</w:t>
            </w:r>
          </w:p>
        </w:tc>
        <w:tc>
          <w:tcPr/>
          <w:p>
            <w:pPr>
              <w:pStyle w:val="Compact"/>
            </w:pPr>
            <w:r>
              <w:t xml:space="preserve">V2 (Monat 9)</w:t>
            </w:r>
          </w:p>
        </w:tc>
      </w:tr>
      <w:tr>
        <w:tc>
          <w:tcPr/>
          <w:p>
            <w:pPr>
              <w:pStyle w:val="Compact"/>
            </w:pPr>
            <w:r>
              <w:t xml:space="preserve">Chat-Interface</w:t>
            </w:r>
          </w:p>
        </w:tc>
        <w:tc>
          <w:tcPr/>
          <w:p>
            <w:pPr>
              <w:pStyle w:val="Compact"/>
            </w:pPr>
            <w:r>
              <w:t xml:space="preserve">Multi-Modell-Chat, Verlauf, Kontextfenster-Anzeige</w:t>
            </w:r>
          </w:p>
        </w:tc>
        <w:tc>
          <w:tcPr/>
          <w:p>
            <w:pPr>
              <w:pStyle w:val="Compact"/>
            </w:pPr>
            <w:r>
              <w:t xml:space="preserve">✅</w:t>
            </w:r>
          </w:p>
        </w:tc>
        <w:tc>
          <w:tcPr/>
          <w:p>
            <w:pPr>
              <w:pStyle w:val="Compact"/>
            </w:pPr>
            <w:r>
              <w:t xml:space="preserve">—</w:t>
            </w:r>
          </w:p>
        </w:tc>
      </w:tr>
      <w:tr>
        <w:tc>
          <w:tcPr/>
          <w:p>
            <w:pPr>
              <w:pStyle w:val="Compact"/>
            </w:pPr>
            <w:r>
              <w:t xml:space="preserve">Dokument-Upload</w:t>
            </w:r>
          </w:p>
        </w:tc>
        <w:tc>
          <w:tcPr/>
          <w:p>
            <w:pPr>
              <w:pStyle w:val="Compact"/>
            </w:pPr>
            <w:r>
              <w:t xml:space="preserve">PDF/Word/Text hochladen, ins Kontext einbinden</w:t>
            </w:r>
          </w:p>
        </w:tc>
        <w:tc>
          <w:tcPr/>
          <w:p>
            <w:pPr>
              <w:pStyle w:val="Compact"/>
            </w:pPr>
            <w:r>
              <w:t xml:space="preserve">✅</w:t>
            </w:r>
          </w:p>
        </w:tc>
        <w:tc>
          <w:tcPr/>
          <w:p>
            <w:pPr>
              <w:pStyle w:val="Compact"/>
            </w:pPr>
            <w:r>
              <w:t xml:space="preserve">—</w:t>
            </w:r>
          </w:p>
        </w:tc>
      </w:tr>
      <w:tr>
        <w:tc>
          <w:tcPr/>
          <w:p>
            <w:pPr>
              <w:pStyle w:val="Compact"/>
            </w:pPr>
            <w:r>
              <w:t xml:space="preserve">Modellverwaltung</w:t>
            </w:r>
          </w:p>
        </w:tc>
        <w:tc>
          <w:tcPr/>
          <w:p>
            <w:pPr>
              <w:pStyle w:val="Compact"/>
            </w:pPr>
            <w:r>
              <w:t xml:space="preserve">Aktive Modelle anzeigen, wechseln, deaktivieren</w:t>
            </w:r>
          </w:p>
        </w:tc>
        <w:tc>
          <w:tcPr/>
          <w:p>
            <w:pPr>
              <w:pStyle w:val="Compact"/>
            </w:pPr>
            <w:r>
              <w:t xml:space="preserve">✅</w:t>
            </w:r>
          </w:p>
        </w:tc>
        <w:tc>
          <w:tcPr/>
          <w:p>
            <w:pPr>
              <w:pStyle w:val="Compact"/>
            </w:pPr>
            <w:r>
              <w:t xml:space="preserve">—</w:t>
            </w:r>
          </w:p>
        </w:tc>
      </w:tr>
      <w:tr>
        <w:tc>
          <w:tcPr/>
          <w:p>
            <w:pPr>
              <w:pStyle w:val="Compact"/>
            </w:pPr>
            <w:r>
              <w:t xml:space="preserve">System-Monitor</w:t>
            </w:r>
          </w:p>
        </w:tc>
        <w:tc>
          <w:tcPr/>
          <w:p>
            <w:pPr>
              <w:pStyle w:val="Compact"/>
            </w:pPr>
            <w:r>
              <w:t xml:space="preserve">CPU/GPU-Auslastung, Speicher, Temperatur</w:t>
            </w:r>
          </w:p>
        </w:tc>
        <w:tc>
          <w:tcPr/>
          <w:p>
            <w:pPr>
              <w:pStyle w:val="Compact"/>
            </w:pPr>
            <w:r>
              <w:t xml:space="preserve">✅</w:t>
            </w:r>
          </w:p>
        </w:tc>
        <w:tc>
          <w:tcPr/>
          <w:p>
            <w:pPr>
              <w:pStyle w:val="Compact"/>
            </w:pPr>
            <w:r>
              <w:t xml:space="preserve">—</w:t>
            </w:r>
          </w:p>
        </w:tc>
      </w:tr>
      <w:tr>
        <w:tc>
          <w:tcPr/>
          <w:p>
            <w:pPr>
              <w:pStyle w:val="Compact"/>
            </w:pPr>
            <w:r>
              <w:t xml:space="preserve">RAG-Pipeline</w:t>
            </w:r>
          </w:p>
        </w:tc>
        <w:tc>
          <w:tcPr/>
          <w:p>
            <w:pPr>
              <w:pStyle w:val="Compact"/>
            </w:pPr>
            <w:r>
              <w:t xml:space="preserve">Dokumentenindex aufbauen, vektorbasierte Suche</w:t>
            </w:r>
          </w:p>
        </w:tc>
        <w:tc>
          <w:tcPr/>
          <w:p>
            <w:pPr>
              <w:pStyle w:val="Compact"/>
            </w:pPr>
            <w:r>
              <w:t xml:space="preserve">—</w:t>
            </w:r>
          </w:p>
        </w:tc>
        <w:tc>
          <w:tcPr/>
          <w:p>
            <w:pPr>
              <w:pStyle w:val="Compact"/>
            </w:pPr>
            <w:r>
              <w:t xml:space="preserve">✅</w:t>
            </w:r>
          </w:p>
        </w:tc>
      </w:tr>
      <w:tr>
        <w:tc>
          <w:tcPr/>
          <w:p>
            <w:pPr>
              <w:pStyle w:val="Compact"/>
            </w:pPr>
            <w:r>
              <w:t xml:space="preserve">Nutzerverwaltung</w:t>
            </w:r>
          </w:p>
        </w:tc>
        <w:tc>
          <w:tcPr/>
          <w:p>
            <w:pPr>
              <w:pStyle w:val="Compact"/>
            </w:pPr>
            <w:r>
              <w:t xml:space="preserve">Multi-User, Rollen (Admin/Nutzer)</w:t>
            </w:r>
          </w:p>
        </w:tc>
        <w:tc>
          <w:tcPr/>
          <w:p>
            <w:pPr>
              <w:pStyle w:val="Compact"/>
            </w:pPr>
            <w:r>
              <w:t xml:space="preserve">—</w:t>
            </w:r>
          </w:p>
        </w:tc>
        <w:tc>
          <w:tcPr/>
          <w:p>
            <w:pPr>
              <w:pStyle w:val="Compact"/>
            </w:pPr>
            <w:r>
              <w:t xml:space="preserve">✅</w:t>
            </w:r>
          </w:p>
        </w:tc>
      </w:tr>
      <w:tr>
        <w:tc>
          <w:tcPr/>
          <w:p>
            <w:pPr>
              <w:pStyle w:val="Compact"/>
            </w:pPr>
            <w:r>
              <w:t xml:space="preserve">Update-Center</w:t>
            </w:r>
          </w:p>
        </w:tc>
        <w:tc>
          <w:tcPr/>
          <w:p>
            <w:pPr>
              <w:pStyle w:val="Compact"/>
            </w:pPr>
            <w:r>
              <w:t xml:space="preserve">Modell-Updates, System-Updates (genehmigen/installieren)</w:t>
            </w:r>
          </w:p>
        </w:tc>
        <w:tc>
          <w:tcPr/>
          <w:p>
            <w:pPr>
              <w:pStyle w:val="Compact"/>
            </w:pPr>
            <w:r>
              <w:t xml:space="preserve">—</w:t>
            </w:r>
          </w:p>
        </w:tc>
        <w:tc>
          <w:tcPr/>
          <w:p>
            <w:pPr>
              <w:pStyle w:val="Compact"/>
            </w:pPr>
            <w:r>
              <w:t xml:space="preserve">✅</w:t>
            </w:r>
          </w:p>
        </w:tc>
      </w:tr>
      <w:tr>
        <w:tc>
          <w:tcPr/>
          <w:p>
            <w:pPr>
              <w:pStyle w:val="Compact"/>
            </w:pPr>
            <w:r>
              <w:t xml:space="preserve">Audit-Log</w:t>
            </w:r>
          </w:p>
        </w:tc>
        <w:tc>
          <w:tcPr/>
          <w:p>
            <w:pPr>
              <w:pStyle w:val="Compact"/>
            </w:pPr>
            <w:r>
              <w:t xml:space="preserve">Wer hat was gefragt (für Compliance-Nachweis)</w:t>
            </w:r>
          </w:p>
        </w:tc>
        <w:tc>
          <w:tcPr/>
          <w:p>
            <w:pPr>
              <w:pStyle w:val="Compact"/>
            </w:pPr>
            <w:r>
              <w:t xml:space="preserve">—</w:t>
            </w:r>
          </w:p>
        </w:tc>
        <w:tc>
          <w:tcPr/>
          <w:p>
            <w:pPr>
              <w:pStyle w:val="Compact"/>
            </w:pPr>
            <w:r>
              <w:t xml:space="preserve">✅</w:t>
            </w:r>
          </w:p>
        </w:tc>
      </w:tr>
    </w:tbl>
    <w:p>
      <w:pPr>
        <w:pStyle w:val="BodyText"/>
      </w:pPr>
      <w:r>
        <w:rPr>
          <w:b/>
          <w:bCs/>
        </w:rPr>
        <w:t xml:space="preserve">LLM-Auswahl — Kurationslogik:</w:t>
      </w:r>
      <w:r>
        <w:t xml:space="preserve"> </w:t>
      </w:r>
      <w:r>
        <w:t xml:space="preserve">Nicht jedes verfügbare Modell wird angeboten. PrivateMind kuratiert eine schlanke, getestete Auswahl: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Modell</w:t>
            </w:r>
          </w:p>
        </w:tc>
        <w:tc>
          <w:tcPr/>
          <w:p>
            <w:pPr>
              <w:pStyle w:val="Compact"/>
            </w:pPr>
            <w:r>
              <w:t xml:space="preserve">Stärke</w:t>
            </w:r>
          </w:p>
        </w:tc>
        <w:tc>
          <w:tcPr/>
          <w:p>
            <w:pPr>
              <w:pStyle w:val="Compact"/>
            </w:pPr>
            <w:r>
              <w:t xml:space="preserve">Empfohlen für</w:t>
            </w:r>
          </w:p>
        </w:tc>
      </w:tr>
      <w:tr>
        <w:tc>
          <w:tcPr/>
          <w:p>
            <w:pPr>
              <w:pStyle w:val="Compact"/>
            </w:pPr>
            <w:r>
              <w:t xml:space="preserve">Llama 3.3 70B Instruct</w:t>
            </w:r>
          </w:p>
        </w:tc>
        <w:tc>
          <w:tcPr/>
          <w:p>
            <w:pPr>
              <w:pStyle w:val="Compact"/>
            </w:pPr>
            <w:r>
              <w:t xml:space="preserve">Allzweck, beste Balance</w:t>
            </w:r>
          </w:p>
        </w:tc>
        <w:tc>
          <w:tcPr/>
          <w:p>
            <w:pPr>
              <w:pStyle w:val="Compact"/>
            </w:pPr>
            <w:r>
              <w:t xml:space="preserve">Standard-Empfehlung für alle</w:t>
            </w:r>
          </w:p>
        </w:tc>
      </w:tr>
      <w:tr>
        <w:tc>
          <w:tcPr/>
          <w:p>
            <w:pPr>
              <w:pStyle w:val="Compact"/>
            </w:pPr>
            <w:r>
              <w:t xml:space="preserve">DeepSeek-R1 70B</w:t>
            </w:r>
          </w:p>
        </w:tc>
        <w:tc>
          <w:tcPr/>
          <w:p>
            <w:pPr>
              <w:pStyle w:val="Compact"/>
            </w:pPr>
            <w:r>
              <w:t xml:space="preserve">Reasoning, Analyse, Argumentation</w:t>
            </w:r>
          </w:p>
        </w:tc>
        <w:tc>
          <w:tcPr/>
          <w:p>
            <w:pPr>
              <w:pStyle w:val="Compact"/>
            </w:pPr>
            <w:r>
              <w:t xml:space="preserve">Kanzleien, Beratungen</w:t>
            </w:r>
          </w:p>
        </w:tc>
      </w:tr>
      <w:tr>
        <w:tc>
          <w:tcPr/>
          <w:p>
            <w:pPr>
              <w:pStyle w:val="Compact"/>
            </w:pPr>
            <w:r>
              <w:t xml:space="preserve">Qwen2.5 72B</w:t>
            </w:r>
          </w:p>
        </w:tc>
        <w:tc>
          <w:tcPr/>
          <w:p>
            <w:pPr>
              <w:pStyle w:val="Compact"/>
            </w:pPr>
            <w:r>
              <w:t xml:space="preserve">Mehrsprachigkeit, strukturierte Ausgabe</w:t>
            </w:r>
          </w:p>
        </w:tc>
        <w:tc>
          <w:tcPr/>
          <w:p>
            <w:pPr>
              <w:pStyle w:val="Compact"/>
            </w:pPr>
            <w:r>
              <w:t xml:space="preserve">Internationales Geschäft</w:t>
            </w:r>
          </w:p>
        </w:tc>
      </w:tr>
      <w:tr>
        <w:tc>
          <w:tcPr/>
          <w:p>
            <w:pPr>
              <w:pStyle w:val="Compact"/>
            </w:pPr>
            <w:r>
              <w:t xml:space="preserve">Gemma 3 27B</w:t>
            </w:r>
          </w:p>
        </w:tc>
        <w:tc>
          <w:tcPr/>
          <w:p>
            <w:pPr>
              <w:pStyle w:val="Compact"/>
            </w:pPr>
            <w:r>
              <w:t xml:space="preserve">Schnell, sparsam</w:t>
            </w:r>
          </w:p>
        </w:tc>
        <w:tc>
          <w:tcPr/>
          <w:p>
            <w:pPr>
              <w:pStyle w:val="Compact"/>
            </w:pPr>
            <w:r>
              <w:t xml:space="preserve">Einfache Tasks, hoher Durchsatz</w:t>
            </w:r>
          </w:p>
        </w:tc>
      </w:tr>
      <w:tr>
        <w:tc>
          <w:tcPr/>
          <w:p>
            <w:pPr>
              <w:pStyle w:val="Compact"/>
            </w:pPr>
            <w:r>
              <w:t xml:space="preserve">Mistral Large (lokal)</w:t>
            </w:r>
          </w:p>
        </w:tc>
        <w:tc>
          <w:tcPr/>
          <w:p>
            <w:pPr>
              <w:pStyle w:val="Compact"/>
            </w:pPr>
            <w:r>
              <w:t xml:space="preserve">Europäisches Modell, Französisch/Deutsch</w:t>
            </w:r>
          </w:p>
        </w:tc>
        <w:tc>
          <w:tcPr/>
          <w:p>
            <w:pPr>
              <w:pStyle w:val="Compact"/>
            </w:pPr>
            <w:r>
              <w:t xml:space="preserve">DACH-spezifische Use Cases</w:t>
            </w:r>
          </w:p>
        </w:tc>
      </w:tr>
      <w:tr>
        <w:tc>
          <w:tcPr/>
          <w:p>
            <w:pPr>
              <w:pStyle w:val="Compact"/>
            </w:pPr>
            <w:r>
              <w:t xml:space="preserve">[Branchen-spezifisch]</w:t>
            </w:r>
          </w:p>
        </w:tc>
        <w:tc>
          <w:tcPr/>
          <w:p>
            <w:pPr>
              <w:pStyle w:val="Compact"/>
            </w:pPr>
            <w:r>
              <w:t xml:space="preserve">Finetuned auf Kundendaten</w:t>
            </w:r>
          </w:p>
        </w:tc>
        <w:tc>
          <w:tcPr/>
          <w:p>
            <w:pPr>
              <w:pStyle w:val="Compact"/>
            </w:pPr>
            <w:r>
              <w:t xml:space="preserve">Enterprise-Option (gegen Aufpreis)</w:t>
            </w:r>
          </w:p>
        </w:tc>
      </w:tr>
    </w:tbl>
    <w:bookmarkEnd w:id="29"/>
    <w:bookmarkStart w:id="30" w:name="service-portfolio"/>
    <w:p>
      <w:pPr>
        <w:pStyle w:val="Heading3"/>
      </w:pPr>
      <w:r>
        <w:t xml:space="preserve">4.4 Service-Portfolio</w:t>
      </w:r>
    </w:p>
    <w:p>
      <w:pPr>
        <w:pStyle w:val="FirstParagraph"/>
      </w:pPr>
      <w:r>
        <w:rPr>
          <w:b/>
          <w:bCs/>
        </w:rPr>
        <w:t xml:space="preserve">Einmalige Leistungen:</w:t>
      </w:r>
      <w:r>
        <w:t xml:space="preserve"> </w:t>
      </w:r>
      <w:r>
        <w:t xml:space="preserve">- Hardware-Lieferung, Erstkonfiguration (remote oder vor Ort)</w:t>
      </w:r>
      <w:r>
        <w:t xml:space="preserve"> </w:t>
      </w:r>
      <w:r>
        <w:t xml:space="preserve">- Modellauswahl und -installation nach Kundenbedarf</w:t>
      </w:r>
      <w:r>
        <w:t xml:space="preserve"> </w:t>
      </w:r>
      <w:r>
        <w:t xml:space="preserve">- Netzwerkintegration (LAN, VLAN, Firewall-Regeln)</w:t>
      </w:r>
      <w:r>
        <w:t xml:space="preserve"> </w:t>
      </w:r>
      <w:r>
        <w:t xml:space="preserve">- Mitarbeiterschulung (Quickstart bis Workshop)</w:t>
      </w:r>
      <w:r>
        <w:t xml:space="preserve"> </w:t>
      </w:r>
      <w:r>
        <w:t xml:space="preserve">- DSGVO-Dokumentation für Kundenzwecke (Verarbeitungsverzeichnis-Vorlage)</w:t>
      </w:r>
    </w:p>
    <w:p>
      <w:pPr>
        <w:pStyle w:val="BodyText"/>
      </w:pPr>
      <w:r>
        <w:rPr>
          <w:b/>
          <w:bCs/>
        </w:rPr>
        <w:t xml:space="preserve">Laufende Leistungen (im Abo):</w:t>
      </w:r>
      <w:r>
        <w:t xml:space="preserve"> </w:t>
      </w:r>
      <w:r>
        <w:t xml:space="preserve">- Firmware- und OS-Updates</w:t>
      </w:r>
      <w:r>
        <w:t xml:space="preserve"> </w:t>
      </w:r>
      <w:r>
        <w:t xml:space="preserve">- Modell-Updates (neue Versionen, verbesserte Quantisierungen)</w:t>
      </w:r>
      <w:r>
        <w:t xml:space="preserve"> </w:t>
      </w:r>
      <w:r>
        <w:t xml:space="preserve">- Technischer Support (SLA je nach Tier)</w:t>
      </w:r>
      <w:r>
        <w:t xml:space="preserve"> </w:t>
      </w:r>
      <w:r>
        <w:t xml:space="preserve">- Proaktives Monitoring (ab Professional)</w:t>
      </w:r>
      <w:r>
        <w:t xml:space="preserve"> </w:t>
      </w:r>
      <w:r>
        <w:t xml:space="preserve">- Modelloptimierung und Performance-Tuning</w:t>
      </w:r>
      <w:r>
        <w:t xml:space="preserve"> </w:t>
      </w:r>
      <w:r>
        <w:t xml:space="preserve">- Neues Modell-Onboarding auf Anfrage</w:t>
      </w:r>
    </w:p>
    <w:p>
      <w:pPr>
        <w:pStyle w:val="BodyText"/>
      </w:pPr>
      <w:r>
        <w:rPr>
          <w:b/>
          <w:bCs/>
        </w:rPr>
        <w:t xml:space="preserve">Optionale Zusatzleistungen (projektbezogen):</w:t>
      </w:r>
      <w:r>
        <w:t xml:space="preserve"> </w:t>
      </w:r>
      <w:r>
        <w:t xml:space="preserve">- Finetuning auf Kundendaten (z.B. unternehmensspezifisches Vokabular, Prozesse)</w:t>
      </w:r>
      <w:r>
        <w:t xml:space="preserve"> </w:t>
      </w:r>
      <w:r>
        <w:t xml:space="preserve">- Entwicklung kundenspezifischer RAG-Pipelines</w:t>
      </w:r>
      <w:r>
        <w:t xml:space="preserve"> </w:t>
      </w:r>
      <w:r>
        <w:t xml:space="preserve">- API-Integration in bestehende Software (CRM, DMS, ERP)</w:t>
      </w:r>
      <w:r>
        <w:t xml:space="preserve"> </w:t>
      </w:r>
      <w:r>
        <w:t xml:space="preserve">- Erweiterter Vor-Ort-Support</w:t>
      </w:r>
    </w:p>
    <w:p>
      <w:r>
        <w:pict>
          <v:rect style="width:0;height:1.5pt" o:hralign="center" o:hrstd="t" o:hr="t"/>
        </w:pict>
      </w:r>
    </w:p>
    <w:bookmarkEnd w:id="30"/>
    <w:bookmarkEnd w:id="31"/>
    <w:bookmarkStart w:id="37" w:name="geschäftsmodell-preisgestaltung"/>
    <w:p>
      <w:pPr>
        <w:pStyle w:val="Heading2"/>
      </w:pPr>
      <w:r>
        <w:t xml:space="preserve">5. Geschäftsmodell &amp; Preisgestaltung</w:t>
      </w:r>
    </w:p>
    <w:bookmarkStart w:id="32" w:name="modell-logik"/>
    <w:p>
      <w:pPr>
        <w:pStyle w:val="Heading3"/>
      </w:pPr>
      <w:r>
        <w:t xml:space="preserve">5.1 Modell-Logik</w:t>
      </w:r>
    </w:p>
    <w:p>
      <w:pPr>
        <w:pStyle w:val="FirstParagraph"/>
      </w:pPr>
      <w:r>
        <w:t xml:space="preserve">PrivateMind kombiniert zwei Einnahmetypen strategisch:</w:t>
      </w:r>
    </w:p>
    <w:p>
      <w:pPr>
        <w:pStyle w:val="Compact"/>
        <w:numPr>
          <w:ilvl w:val="0"/>
          <w:numId w:val="1007"/>
        </w:numPr>
      </w:pPr>
      <w:r>
        <w:rPr>
          <w:b/>
          <w:bCs/>
        </w:rPr>
        <w:t xml:space="preserve">Einmalige Einnahmen</w:t>
      </w:r>
      <w:r>
        <w:t xml:space="preserve"> </w:t>
      </w:r>
      <w:r>
        <w:t xml:space="preserve">(Hardware-Marge + Setup): Finanzieren Anlaufkosten und Demo-Investitionen</w:t>
      </w:r>
    </w:p>
    <w:p>
      <w:pPr>
        <w:pStyle w:val="Compact"/>
        <w:numPr>
          <w:ilvl w:val="0"/>
          <w:numId w:val="1007"/>
        </w:numPr>
      </w:pPr>
      <w:r>
        <w:rPr>
          <w:b/>
          <w:bCs/>
        </w:rPr>
        <w:t xml:space="preserve">Wiederkehrende Einnahmen</w:t>
      </w:r>
      <w:r>
        <w:t xml:space="preserve"> </w:t>
      </w:r>
      <w:r>
        <w:t xml:space="preserve">(Abo): Bauen planbare, wachsende Basis auf — strategischer Kern</w:t>
      </w:r>
    </w:p>
    <w:p>
      <w:pPr>
        <w:pStyle w:val="FirstParagraph"/>
      </w:pPr>
      <w:r>
        <w:t xml:space="preserve">Die Unternehmenslogik ist einfach:</w:t>
      </w:r>
      <w:r>
        <w:t xml:space="preserve"> </w:t>
      </w:r>
      <w:r>
        <w:rPr>
          <w:b/>
          <w:bCs/>
        </w:rPr>
        <w:t xml:space="preserve">Je mehr Kunden im Abo, desto stabiler das Unternehmen — unabhängig vom nächsten Hardware-Verkauf.</w:t>
      </w:r>
    </w:p>
    <w:bookmarkEnd w:id="32"/>
    <w:bookmarkStart w:id="33" w:name="X1729ccdaa07454ffa30223ef57540eba7751d7c"/>
    <w:p>
      <w:pPr>
        <w:pStyle w:val="Heading3"/>
      </w:pPr>
      <w:r>
        <w:t xml:space="preserve">5.2 Option A: Hardware-Kauf + Service-Abo (getrennt)</w:t>
      </w:r>
    </w:p>
    <w:p>
      <w:pPr>
        <w:pStyle w:val="FirstParagraph"/>
      </w:pPr>
      <w:r>
        <w:rPr>
          <w:b/>
          <w:bCs/>
        </w:rPr>
        <w:t xml:space="preserve">Hardware-Preise (einmalig, inkl. Konfiguration):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Produktlinie</w:t>
            </w:r>
          </w:p>
        </w:tc>
        <w:tc>
          <w:tcPr/>
          <w:p>
            <w:pPr>
              <w:pStyle w:val="Compact"/>
            </w:pPr>
            <w:r>
              <w:t xml:space="preserve">Konfiguration</w:t>
            </w:r>
          </w:p>
        </w:tc>
        <w:tc>
          <w:tcPr/>
          <w:p>
            <w:pPr>
              <w:pStyle w:val="Compact"/>
            </w:pPr>
            <w:r>
              <w:t xml:space="preserve">VK (inkl. MwSt.)</w:t>
            </w:r>
          </w:p>
        </w:tc>
        <w:tc>
          <w:tcPr/>
          <w:p>
            <w:pPr>
              <w:pStyle w:val="Compact"/>
            </w:pPr>
            <w:r>
              <w:t xml:space="preserve">EK (ca.)</w:t>
            </w:r>
          </w:p>
        </w:tc>
        <w:tc>
          <w:tcPr/>
          <w:p>
            <w:pPr>
              <w:pStyle w:val="Compact"/>
            </w:pPr>
            <w:r>
              <w:t xml:space="preserve">Marge</w:t>
            </w:r>
          </w:p>
        </w:tc>
      </w:tr>
      <w:tr>
        <w:tc>
          <w:tcPr/>
          <w:p>
            <w:pPr>
              <w:pStyle w:val="Compact"/>
            </w:pPr>
            <w:r>
              <w:t xml:space="preserve">PrivateMind Standard</w:t>
            </w:r>
          </w:p>
        </w:tc>
        <w:tc>
          <w:tcPr/>
          <w:p>
            <w:pPr>
              <w:pStyle w:val="Compact"/>
            </w:pPr>
            <w:r>
              <w:t xml:space="preserve">1× GX10, 1 TB</w:t>
            </w:r>
          </w:p>
        </w:tc>
        <w:tc>
          <w:tcPr/>
          <w:p>
            <w:pPr>
              <w:pStyle w:val="Compact"/>
            </w:pPr>
            <w:r>
              <w:t xml:space="preserve">€4.522 brutto / €3.800 netto</w:t>
            </w:r>
          </w:p>
        </w:tc>
        <w:tc>
          <w:tcPr/>
          <w:p>
            <w:pPr>
              <w:pStyle w:val="Compact"/>
            </w:pPr>
            <w:r>
              <w:t xml:space="preserve">~€3.050</w:t>
            </w:r>
          </w:p>
        </w:tc>
        <w:tc>
          <w:tcPr/>
          <w:p>
            <w:pPr>
              <w:pStyle w:val="Compact"/>
            </w:pPr>
            <w:r>
              <w:t xml:space="preserve">~€750</w:t>
            </w:r>
          </w:p>
        </w:tc>
      </w:tr>
      <w:tr>
        <w:tc>
          <w:tcPr/>
          <w:p>
            <w:pPr>
              <w:pStyle w:val="Compact"/>
            </w:pPr>
            <w:r>
              <w:t xml:space="preserve">PrivateMind Professional</w:t>
            </w:r>
          </w:p>
        </w:tc>
        <w:tc>
          <w:tcPr/>
          <w:p>
            <w:pPr>
              <w:pStyle w:val="Compact"/>
            </w:pPr>
            <w:r>
              <w:t xml:space="preserve">1× GX10, 2 TB</w:t>
            </w:r>
          </w:p>
        </w:tc>
        <w:tc>
          <w:tcPr/>
          <w:p>
            <w:pPr>
              <w:pStyle w:val="Compact"/>
            </w:pPr>
            <w:r>
              <w:t xml:space="preserve">€5.355 brutto / €4.500 netto</w:t>
            </w:r>
          </w:p>
        </w:tc>
        <w:tc>
          <w:tcPr/>
          <w:p>
            <w:pPr>
              <w:pStyle w:val="Compact"/>
            </w:pPr>
            <w:r>
              <w:t xml:space="preserve">~€3.550</w:t>
            </w:r>
          </w:p>
        </w:tc>
        <w:tc>
          <w:tcPr/>
          <w:p>
            <w:pPr>
              <w:pStyle w:val="Compact"/>
            </w:pPr>
            <w:r>
              <w:t xml:space="preserve">~€950</w:t>
            </w:r>
          </w:p>
        </w:tc>
      </w:tr>
      <w:tr>
        <w:tc>
          <w:tcPr/>
          <w:p>
            <w:pPr>
              <w:pStyle w:val="Compact"/>
            </w:pPr>
            <w:r>
              <w:t xml:space="preserve">PrivateMind Premium</w:t>
            </w:r>
          </w:p>
        </w:tc>
        <w:tc>
          <w:tcPr/>
          <w:p>
            <w:pPr>
              <w:pStyle w:val="Compact"/>
            </w:pPr>
            <w:r>
              <w:t xml:space="preserve">2× GX10 Cluster, je 2 TB</w:t>
            </w:r>
          </w:p>
        </w:tc>
        <w:tc>
          <w:tcPr/>
          <w:p>
            <w:pPr>
              <w:pStyle w:val="Compact"/>
            </w:pPr>
            <w:r>
              <w:t xml:space="preserve">€11.305 brutto / €9.500 netto</w:t>
            </w:r>
          </w:p>
        </w:tc>
        <w:tc>
          <w:tcPr/>
          <w:p>
            <w:pPr>
              <w:pStyle w:val="Compact"/>
            </w:pPr>
            <w:r>
              <w:t xml:space="preserve">~€7.100</w:t>
            </w:r>
          </w:p>
        </w:tc>
        <w:tc>
          <w:tcPr/>
          <w:p>
            <w:pPr>
              <w:pStyle w:val="Compact"/>
            </w:pPr>
            <w:r>
              <w:t xml:space="preserve">~€2.400</w:t>
            </w:r>
          </w:p>
        </w:tc>
      </w:tr>
    </w:tbl>
    <w:p>
      <w:pPr>
        <w:pStyle w:val="BodyText"/>
      </w:pPr>
      <w:r>
        <w:rPr>
          <w:i/>
          <w:iCs/>
        </w:rPr>
        <w:t xml:space="preserve">Preise netto = B2B-Preise für Geschäftskunden. MwSt. 19% (DE).</w:t>
      </w:r>
    </w:p>
    <w:p>
      <w:pPr>
        <w:pStyle w:val="BodyText"/>
      </w:pPr>
      <w:r>
        <w:rPr>
          <w:b/>
          <w:bCs/>
        </w:rPr>
        <w:t xml:space="preserve">Service-Abos (monatlich, netto, Mindestlaufzeit 12 Monate):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Starter</w:t>
            </w:r>
          </w:p>
        </w:tc>
        <w:tc>
          <w:tcPr/>
          <w:p>
            <w:pPr>
              <w:pStyle w:val="Compact"/>
            </w:pPr>
            <w:r>
              <w:rPr>
                <w:b/>
                <w:bCs/>
              </w:rPr>
              <w:t xml:space="preserve">Professional</w:t>
            </w:r>
          </w:p>
        </w:tc>
        <w:tc>
          <w:tcPr/>
          <w:p>
            <w:pPr>
              <w:pStyle w:val="Compact"/>
            </w:pPr>
            <w:r>
              <w:rPr>
                <w:b/>
                <w:bCs/>
              </w:rPr>
              <w:t xml:space="preserve">Enterprise</w:t>
            </w:r>
          </w:p>
        </w:tc>
      </w:tr>
      <w:tr>
        <w:tc>
          <w:tcPr/>
          <w:p>
            <w:pPr>
              <w:pStyle w:val="Compact"/>
            </w:pPr>
            <w:r>
              <w:rPr>
                <w:b/>
                <w:bCs/>
              </w:rPr>
              <w:t xml:space="preserve">Monatspreis (netto)</w:t>
            </w:r>
          </w:p>
        </w:tc>
        <w:tc>
          <w:tcPr/>
          <w:p>
            <w:pPr>
              <w:pStyle w:val="Compact"/>
            </w:pPr>
            <w:r>
              <w:rPr>
                <w:b/>
                <w:bCs/>
              </w:rPr>
              <w:t xml:space="preserve">€149</w:t>
            </w:r>
          </w:p>
        </w:tc>
        <w:tc>
          <w:tcPr/>
          <w:p>
            <w:pPr>
              <w:pStyle w:val="Compact"/>
            </w:pPr>
            <w:r>
              <w:rPr>
                <w:b/>
                <w:bCs/>
              </w:rPr>
              <w:t xml:space="preserve">€349</w:t>
            </w:r>
          </w:p>
        </w:tc>
        <w:tc>
          <w:tcPr/>
          <w:p>
            <w:pPr>
              <w:pStyle w:val="Compact"/>
            </w:pPr>
            <w:r>
              <w:rPr>
                <w:b/>
                <w:bCs/>
              </w:rPr>
              <w:t xml:space="preserve">€699</w:t>
            </w:r>
          </w:p>
        </w:tc>
      </w:tr>
      <w:tr>
        <w:tc>
          <w:tcPr/>
          <w:p>
            <w:pPr>
              <w:pStyle w:val="Compact"/>
            </w:pPr>
            <w:r>
              <w:t xml:space="preserve">Vorkonfigurierte Modelle</w:t>
            </w:r>
          </w:p>
        </w:tc>
        <w:tc>
          <w:tcPr/>
          <w:p>
            <w:pPr>
              <w:pStyle w:val="Compact"/>
            </w:pPr>
            <w:r>
              <w:t xml:space="preserve">3–5 Modelle (Basis-Set)</w:t>
            </w:r>
          </w:p>
        </w:tc>
        <w:tc>
          <w:tcPr/>
          <w:p>
            <w:pPr>
              <w:pStyle w:val="Compact"/>
            </w:pPr>
            <w:r>
              <w:t xml:space="preserve">6–10 Modelle (erweitertes Set)</w:t>
            </w:r>
          </w:p>
        </w:tc>
        <w:tc>
          <w:tcPr/>
          <w:p>
            <w:pPr>
              <w:pStyle w:val="Compact"/>
            </w:pPr>
            <w:r>
              <w:t xml:space="preserve">Maßgeschneidert</w:t>
            </w:r>
          </w:p>
        </w:tc>
      </w:tr>
      <w:tr>
        <w:tc>
          <w:tcPr/>
          <w:p>
            <w:pPr>
              <w:pStyle w:val="Compact"/>
            </w:pPr>
            <w:r>
              <w:t xml:space="preserve">Modell-Updates</w:t>
            </w:r>
          </w:p>
        </w:tc>
        <w:tc>
          <w:tcPr/>
          <w:p>
            <w:pPr>
              <w:pStyle w:val="Compact"/>
            </w:pPr>
            <w:r>
              <w:t xml:space="preserve">Quartalsweise</w:t>
            </w:r>
          </w:p>
        </w:tc>
        <w:tc>
          <w:tcPr/>
          <w:p>
            <w:pPr>
              <w:pStyle w:val="Compact"/>
            </w:pPr>
            <w:r>
              <w:t xml:space="preserve">Monatlich</w:t>
            </w:r>
          </w:p>
        </w:tc>
        <w:tc>
          <w:tcPr/>
          <w:p>
            <w:pPr>
              <w:pStyle w:val="Compact"/>
            </w:pPr>
            <w:r>
              <w:t xml:space="preserve">Kontinuierlich</w:t>
            </w:r>
          </w:p>
        </w:tc>
      </w:tr>
      <w:tr>
        <w:tc>
          <w:tcPr/>
          <w:p>
            <w:pPr>
              <w:pStyle w:val="Compact"/>
            </w:pPr>
            <w:r>
              <w:t xml:space="preserve">Support-Kanal</w:t>
            </w:r>
          </w:p>
        </w:tc>
        <w:tc>
          <w:tcPr/>
          <w:p>
            <w:pPr>
              <w:pStyle w:val="Compact"/>
            </w:pPr>
            <w:r>
              <w:t xml:space="preserve">E-Mail</w:t>
            </w:r>
          </w:p>
        </w:tc>
        <w:tc>
          <w:tcPr/>
          <w:p>
            <w:pPr>
              <w:pStyle w:val="Compact"/>
            </w:pPr>
            <w:r>
              <w:t xml:space="preserve">E-Mail + Telefon</w:t>
            </w:r>
          </w:p>
        </w:tc>
        <w:tc>
          <w:tcPr/>
          <w:p>
            <w:pPr>
              <w:pStyle w:val="Compact"/>
            </w:pPr>
            <w:r>
              <w:t xml:space="preserve">Priorität + Remote-Zugriff</w:t>
            </w:r>
          </w:p>
        </w:tc>
      </w:tr>
      <w:tr>
        <w:tc>
          <w:tcPr/>
          <w:p>
            <w:pPr>
              <w:pStyle w:val="Compact"/>
            </w:pPr>
            <w:r>
              <w:t xml:space="preserve">Reaktionszeit SLA</w:t>
            </w:r>
          </w:p>
        </w:tc>
        <w:tc>
          <w:tcPr/>
          <w:p>
            <w:pPr>
              <w:pStyle w:val="Compact"/>
            </w:pPr>
            <w:r>
              <w:t xml:space="preserve">48 Stunden</w:t>
            </w:r>
          </w:p>
        </w:tc>
        <w:tc>
          <w:tcPr/>
          <w:p>
            <w:pPr>
              <w:pStyle w:val="Compact"/>
            </w:pPr>
            <w:r>
              <w:t xml:space="preserve">24 Stunden</w:t>
            </w:r>
          </w:p>
        </w:tc>
        <w:tc>
          <w:tcPr/>
          <w:p>
            <w:pPr>
              <w:pStyle w:val="Compact"/>
            </w:pPr>
            <w:r>
              <w:t xml:space="preserve">4 Stunden</w:t>
            </w:r>
          </w:p>
        </w:tc>
      </w:tr>
      <w:tr>
        <w:tc>
          <w:tcPr/>
          <w:p>
            <w:pPr>
              <w:pStyle w:val="Compact"/>
            </w:pPr>
            <w:r>
              <w:t xml:space="preserve">System-Monitoring</w:t>
            </w:r>
          </w:p>
        </w:tc>
        <w:tc>
          <w:tcPr/>
          <w:p>
            <w:pPr>
              <w:pStyle w:val="Compact"/>
            </w:pPr>
            <w:r>
              <w:t xml:space="preserve">Basis-Dashboard</w:t>
            </w:r>
          </w:p>
        </w:tc>
        <w:tc>
          <w:tcPr/>
          <w:p>
            <w:pPr>
              <w:pStyle w:val="Compact"/>
            </w:pPr>
            <w:r>
              <w:t xml:space="preserve">Dashboard + Alerts</w:t>
            </w:r>
          </w:p>
        </w:tc>
        <w:tc>
          <w:tcPr/>
          <w:p>
            <w:pPr>
              <w:pStyle w:val="Compact"/>
            </w:pPr>
            <w:r>
              <w:t xml:space="preserve">Proaktiv (PrivateMind monitort)</w:t>
            </w:r>
          </w:p>
        </w:tc>
      </w:tr>
      <w:tr>
        <w:tc>
          <w:tcPr/>
          <w:p>
            <w:pPr>
              <w:pStyle w:val="Compact"/>
            </w:pPr>
            <w:r>
              <w:t xml:space="preserve">Modell-Tuning</w:t>
            </w:r>
          </w:p>
        </w:tc>
        <w:tc>
          <w:tcPr/>
          <w:p>
            <w:pPr>
              <w:pStyle w:val="Compact"/>
            </w:pPr>
            <w:r>
              <w:t xml:space="preserve">—</w:t>
            </w:r>
          </w:p>
        </w:tc>
        <w:tc>
          <w:tcPr/>
          <w:p>
            <w:pPr>
              <w:pStyle w:val="Compact"/>
            </w:pPr>
            <w:r>
              <w:t xml:space="preserve">Self-Service + Anleitung</w:t>
            </w:r>
          </w:p>
        </w:tc>
        <w:tc>
          <w:tcPr/>
          <w:p>
            <w:pPr>
              <w:pStyle w:val="Compact"/>
            </w:pPr>
            <w:r>
              <w:t xml:space="preserve">Durch PrivateMind inklusive</w:t>
            </w:r>
          </w:p>
        </w:tc>
      </w:tr>
      <w:tr>
        <w:tc>
          <w:tcPr/>
          <w:p>
            <w:pPr>
              <w:pStyle w:val="Compact"/>
            </w:pPr>
            <w:r>
              <w:t xml:space="preserve">RAG-Einrichtung</w:t>
            </w:r>
          </w:p>
        </w:tc>
        <w:tc>
          <w:tcPr/>
          <w:p>
            <w:pPr>
              <w:pStyle w:val="Compact"/>
            </w:pPr>
            <w:r>
              <w:t xml:space="preserve">Dokumentation</w:t>
            </w:r>
          </w:p>
        </w:tc>
        <w:tc>
          <w:tcPr/>
          <w:p>
            <w:pPr>
              <w:pStyle w:val="Compact"/>
            </w:pPr>
            <w:r>
              <w:t xml:space="preserve">Einrichtungshilfe</w:t>
            </w:r>
          </w:p>
        </w:tc>
        <w:tc>
          <w:tcPr/>
          <w:p>
            <w:pPr>
              <w:pStyle w:val="Compact"/>
            </w:pPr>
            <w:r>
              <w:t xml:space="preserve">Vollständige Einrichtung inklusive</w:t>
            </w:r>
          </w:p>
        </w:tc>
      </w:tr>
      <w:tr>
        <w:tc>
          <w:tcPr/>
          <w:p>
            <w:pPr>
              <w:pStyle w:val="Compact"/>
            </w:pPr>
            <w:r>
              <w:t xml:space="preserve">Clustering-Support</w:t>
            </w:r>
          </w:p>
        </w:tc>
        <w:tc>
          <w:tcPr/>
          <w:p>
            <w:pPr>
              <w:pStyle w:val="Compact"/>
            </w:pPr>
            <w:r>
              <w:t xml:space="preserve">—</w:t>
            </w:r>
          </w:p>
        </w:tc>
        <w:tc>
          <w:tcPr/>
          <w:p>
            <w:pPr>
              <w:pStyle w:val="Compact"/>
            </w:pPr>
            <w:r>
              <w:t xml:space="preserve">Gegen Aufpreis (€99/Mo.)</w:t>
            </w:r>
          </w:p>
        </w:tc>
        <w:tc>
          <w:tcPr/>
          <w:p>
            <w:pPr>
              <w:pStyle w:val="Compact"/>
            </w:pPr>
            <w:r>
              <w:t xml:space="preserve">Inklusive</w:t>
            </w:r>
          </w:p>
        </w:tc>
      </w:tr>
      <w:tr>
        <w:tc>
          <w:tcPr/>
          <w:p>
            <w:pPr>
              <w:pStyle w:val="Compact"/>
            </w:pPr>
            <w:r>
              <w:t xml:space="preserve">Schulung</w:t>
            </w:r>
          </w:p>
        </w:tc>
        <w:tc>
          <w:tcPr/>
          <w:p>
            <w:pPr>
              <w:pStyle w:val="Compact"/>
            </w:pPr>
            <w:r>
              <w:t xml:space="preserve">Quickstart-Guide (PDF/Video)</w:t>
            </w:r>
          </w:p>
        </w:tc>
        <w:tc>
          <w:tcPr/>
          <w:p>
            <w:pPr>
              <w:pStyle w:val="Compact"/>
            </w:pPr>
            <w:r>
              <w:t xml:space="preserve">2h Onboarding-Call</w:t>
            </w:r>
          </w:p>
        </w:tc>
        <w:tc>
          <w:tcPr/>
          <w:p>
            <w:pPr>
              <w:pStyle w:val="Compact"/>
            </w:pPr>
            <w:r>
              <w:t xml:space="preserve">Workshop + laufende Beratung</w:t>
            </w:r>
          </w:p>
        </w:tc>
      </w:tr>
      <w:tr>
        <w:tc>
          <w:tcPr/>
          <w:p>
            <w:pPr>
              <w:pStyle w:val="Compact"/>
            </w:pPr>
            <w:r>
              <w:t xml:space="preserve">Neue Nutzer-Onboarding</w:t>
            </w:r>
          </w:p>
        </w:tc>
        <w:tc>
          <w:tcPr/>
          <w:p>
            <w:pPr>
              <w:pStyle w:val="Compact"/>
            </w:pPr>
            <w:r>
              <w:t xml:space="preserve">—</w:t>
            </w:r>
          </w:p>
        </w:tc>
        <w:tc>
          <w:tcPr/>
          <w:p>
            <w:pPr>
              <w:pStyle w:val="Compact"/>
            </w:pPr>
            <w:r>
              <w:t xml:space="preserve">1× pro Quartal</w:t>
            </w:r>
          </w:p>
        </w:tc>
        <w:tc>
          <w:tcPr/>
          <w:p>
            <w:pPr>
              <w:pStyle w:val="Compact"/>
            </w:pPr>
            <w:r>
              <w:t xml:space="preserve">Unbegrenzt</w:t>
            </w:r>
          </w:p>
        </w:tc>
      </w:tr>
      <w:tr>
        <w:tc>
          <w:tcPr/>
          <w:p>
            <w:pPr>
              <w:pStyle w:val="Compact"/>
            </w:pPr>
            <w:r>
              <w:rPr>
                <w:b/>
                <w:bCs/>
              </w:rPr>
              <w:t xml:space="preserve">Jahreswert pro Kunde</w:t>
            </w:r>
          </w:p>
        </w:tc>
        <w:tc>
          <w:tcPr/>
          <w:p>
            <w:pPr>
              <w:pStyle w:val="Compact"/>
            </w:pPr>
            <w:r>
              <w:rPr>
                <w:b/>
                <w:bCs/>
              </w:rPr>
              <w:t xml:space="preserve">€1.788</w:t>
            </w:r>
          </w:p>
        </w:tc>
        <w:tc>
          <w:tcPr/>
          <w:p>
            <w:pPr>
              <w:pStyle w:val="Compact"/>
            </w:pPr>
            <w:r>
              <w:rPr>
                <w:b/>
                <w:bCs/>
              </w:rPr>
              <w:t xml:space="preserve">€4.188</w:t>
            </w:r>
          </w:p>
        </w:tc>
        <w:tc>
          <w:tcPr/>
          <w:p>
            <w:pPr>
              <w:pStyle w:val="Compact"/>
            </w:pPr>
            <w:r>
              <w:rPr>
                <w:b/>
                <w:bCs/>
              </w:rPr>
              <w:t xml:space="preserve">€8.388</w:t>
            </w:r>
          </w:p>
        </w:tc>
      </w:tr>
    </w:tbl>
    <w:p>
      <w:pPr>
        <w:pStyle w:val="BodyText"/>
      </w:pPr>
      <w:r>
        <w:rPr>
          <w:b/>
          <w:bCs/>
        </w:rPr>
        <w:t xml:space="preserve">Setup-Gebühren (einmalig, je nach Komplexität):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Szenario</w:t>
            </w:r>
          </w:p>
        </w:tc>
        <w:tc>
          <w:tcPr/>
          <w:p>
            <w:pPr>
              <w:pStyle w:val="Compact"/>
            </w:pPr>
            <w:r>
              <w:t xml:space="preserve">Gebühr (netto)</w:t>
            </w:r>
          </w:p>
        </w:tc>
      </w:tr>
      <w:tr>
        <w:tc>
          <w:tcPr/>
          <w:p>
            <w:pPr>
              <w:pStyle w:val="Compact"/>
            </w:pPr>
            <w:r>
              <w:t xml:space="preserve">Remote-Setup, Standard-Konfiguration</w:t>
            </w:r>
          </w:p>
        </w:tc>
        <w:tc>
          <w:tcPr/>
          <w:p>
            <w:pPr>
              <w:pStyle w:val="Compact"/>
            </w:pPr>
            <w:r>
              <w:t xml:space="preserve">€500</w:t>
            </w:r>
          </w:p>
        </w:tc>
      </w:tr>
      <w:tr>
        <w:tc>
          <w:tcPr/>
          <w:p>
            <w:pPr>
              <w:pStyle w:val="Compact"/>
            </w:pPr>
            <w:r>
              <w:t xml:space="preserve">Remote-Setup, individuelle Modellauswahl + RAG</w:t>
            </w:r>
          </w:p>
        </w:tc>
        <w:tc>
          <w:tcPr/>
          <w:p>
            <w:pPr>
              <w:pStyle w:val="Compact"/>
            </w:pPr>
            <w:r>
              <w:t xml:space="preserve">€750</w:t>
            </w:r>
          </w:p>
        </w:tc>
      </w:tr>
      <w:tr>
        <w:tc>
          <w:tcPr/>
          <w:p>
            <w:pPr>
              <w:pStyle w:val="Compact"/>
            </w:pPr>
            <w:r>
              <w:t xml:space="preserve">Vor-Ort-Setup (DACH), inklusive Schulung</w:t>
            </w:r>
          </w:p>
        </w:tc>
        <w:tc>
          <w:tcPr/>
          <w:p>
            <w:pPr>
              <w:pStyle w:val="Compact"/>
            </w:pPr>
            <w:r>
              <w:t xml:space="preserve">€1.500</w:t>
            </w:r>
          </w:p>
        </w:tc>
      </w:tr>
      <w:tr>
        <w:tc>
          <w:tcPr/>
          <w:p>
            <w:pPr>
              <w:pStyle w:val="Compact"/>
            </w:pPr>
            <w:r>
              <w:t xml:space="preserve">Vor-Ort-Setup + Netzwerkintegration + Workshop</w:t>
            </w:r>
          </w:p>
        </w:tc>
        <w:tc>
          <w:tcPr/>
          <w:p>
            <w:pPr>
              <w:pStyle w:val="Compact"/>
            </w:pPr>
            <w:r>
              <w:t xml:space="preserve">€2.000</w:t>
            </w:r>
          </w:p>
        </w:tc>
      </w:tr>
    </w:tbl>
    <w:bookmarkEnd w:id="33"/>
    <w:bookmarkStart w:id="34" w:name="Xc08f3b95942c2dcafa6b25b563dd31bd3c482fe"/>
    <w:p>
      <w:pPr>
        <w:pStyle w:val="Heading3"/>
      </w:pPr>
      <w:r>
        <w:t xml:space="preserve">5.3 Option B: All-Inclusive-Bundle (Leasing + Service)</w:t>
      </w:r>
    </w:p>
    <w:p>
      <w:pPr>
        <w:pStyle w:val="FirstParagraph"/>
      </w:pPr>
      <w:r>
        <w:t xml:space="preserve">Für KMU, die keine Investitionsausgabe (CAPEX) tätigen wollen und eine reine Betriebsausgabe (OPEX) bevorzugen. Steuerlich attraktiv: vollständig als Betriebsausgabe absetzbar, kein aktivierungspflichtiges Anlagevermögen.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Bundle Standard</w:t>
            </w:r>
          </w:p>
        </w:tc>
        <w:tc>
          <w:tcPr/>
          <w:p>
            <w:pPr>
              <w:pStyle w:val="Compact"/>
            </w:pPr>
            <w:r>
              <w:rPr>
                <w:b/>
                <w:bCs/>
              </w:rPr>
              <w:t xml:space="preserve">Bundle Professional</w:t>
            </w:r>
          </w:p>
        </w:tc>
        <w:tc>
          <w:tcPr/>
          <w:p>
            <w:pPr>
              <w:pStyle w:val="Compact"/>
            </w:pPr>
            <w:r>
              <w:rPr>
                <w:b/>
                <w:bCs/>
              </w:rPr>
              <w:t xml:space="preserve">Bundle Premium</w:t>
            </w:r>
          </w:p>
        </w:tc>
      </w:tr>
      <w:tr>
        <w:tc>
          <w:tcPr/>
          <w:p>
            <w:pPr>
              <w:pStyle w:val="Compact"/>
            </w:pPr>
            <w:r>
              <w:t xml:space="preserve">Hardware</w:t>
            </w:r>
          </w:p>
        </w:tc>
        <w:tc>
          <w:tcPr/>
          <w:p>
            <w:pPr>
              <w:pStyle w:val="Compact"/>
            </w:pPr>
            <w:r>
              <w:t xml:space="preserve">1× GX10, 1 TB</w:t>
            </w:r>
          </w:p>
        </w:tc>
        <w:tc>
          <w:tcPr/>
          <w:p>
            <w:pPr>
              <w:pStyle w:val="Compact"/>
            </w:pPr>
            <w:r>
              <w:t xml:space="preserve">1× GX10, 2 TB</w:t>
            </w:r>
          </w:p>
        </w:tc>
        <w:tc>
          <w:tcPr/>
          <w:p>
            <w:pPr>
              <w:pStyle w:val="Compact"/>
            </w:pPr>
            <w:r>
              <w:t xml:space="preserve">2× GX10 Cluster, je 2 TB</w:t>
            </w:r>
          </w:p>
        </w:tc>
      </w:tr>
      <w:tr>
        <w:tc>
          <w:tcPr/>
          <w:p>
            <w:pPr>
              <w:pStyle w:val="Compact"/>
            </w:pPr>
            <w:r>
              <w:t xml:space="preserve">Service-Level</w:t>
            </w:r>
          </w:p>
        </w:tc>
        <w:tc>
          <w:tcPr/>
          <w:p>
            <w:pPr>
              <w:pStyle w:val="Compact"/>
            </w:pPr>
            <w:r>
              <w:t xml:space="preserve">Starter</w:t>
            </w:r>
          </w:p>
        </w:tc>
        <w:tc>
          <w:tcPr/>
          <w:p>
            <w:pPr>
              <w:pStyle w:val="Compact"/>
            </w:pPr>
            <w:r>
              <w:t xml:space="preserve">Professional</w:t>
            </w:r>
          </w:p>
        </w:tc>
        <w:tc>
          <w:tcPr/>
          <w:p>
            <w:pPr>
              <w:pStyle w:val="Compact"/>
            </w:pPr>
            <w:r>
              <w:t xml:space="preserve">Enterprise</w:t>
            </w:r>
          </w:p>
        </w:tc>
      </w:tr>
      <w:tr>
        <w:tc>
          <w:tcPr/>
          <w:p>
            <w:pPr>
              <w:pStyle w:val="Compact"/>
            </w:pPr>
            <w:r>
              <w:rPr>
                <w:b/>
                <w:bCs/>
              </w:rPr>
              <w:t xml:space="preserve">Monatspreis (netto)</w:t>
            </w:r>
          </w:p>
        </w:tc>
        <w:tc>
          <w:tcPr/>
          <w:p>
            <w:pPr>
              <w:pStyle w:val="Compact"/>
            </w:pPr>
            <w:r>
              <w:rPr>
                <w:b/>
                <w:bCs/>
              </w:rPr>
              <w:t xml:space="preserve">€299</w:t>
            </w:r>
          </w:p>
        </w:tc>
        <w:tc>
          <w:tcPr/>
          <w:p>
            <w:pPr>
              <w:pStyle w:val="Compact"/>
            </w:pPr>
            <w:r>
              <w:rPr>
                <w:b/>
                <w:bCs/>
              </w:rPr>
              <w:t xml:space="preserve">€499</w:t>
            </w:r>
          </w:p>
        </w:tc>
        <w:tc>
          <w:tcPr/>
          <w:p>
            <w:pPr>
              <w:pStyle w:val="Compact"/>
            </w:pPr>
            <w:r>
              <w:rPr>
                <w:b/>
                <w:bCs/>
              </w:rPr>
              <w:t xml:space="preserve">€999</w:t>
            </w:r>
          </w:p>
        </w:tc>
      </w:tr>
      <w:tr>
        <w:tc>
          <w:tcPr/>
          <w:p>
            <w:pPr>
              <w:pStyle w:val="Compact"/>
            </w:pPr>
            <w:r>
              <w:rPr>
                <w:b/>
                <w:bCs/>
              </w:rPr>
              <w:t xml:space="preserve">Laufzeit</w:t>
            </w:r>
          </w:p>
        </w:tc>
        <w:tc>
          <w:tcPr/>
          <w:p>
            <w:pPr>
              <w:pStyle w:val="Compact"/>
            </w:pPr>
            <w:r>
              <w:t xml:space="preserve">36 Monate</w:t>
            </w:r>
          </w:p>
        </w:tc>
        <w:tc>
          <w:tcPr/>
          <w:p>
            <w:pPr>
              <w:pStyle w:val="Compact"/>
            </w:pPr>
            <w:r>
              <w:t xml:space="preserve">36 Monate</w:t>
            </w:r>
          </w:p>
        </w:tc>
        <w:tc>
          <w:tcPr/>
          <w:p>
            <w:pPr>
              <w:pStyle w:val="Compact"/>
            </w:pPr>
            <w:r>
              <w:t xml:space="preserve">36 Monate</w:t>
            </w:r>
          </w:p>
        </w:tc>
      </w:tr>
      <w:tr>
        <w:tc>
          <w:tcPr/>
          <w:p>
            <w:pPr>
              <w:pStyle w:val="Compact"/>
            </w:pPr>
            <w:r>
              <w:t xml:space="preserve">Gesamtkosten über 36 Mo.</w:t>
            </w:r>
          </w:p>
        </w:tc>
        <w:tc>
          <w:tcPr/>
          <w:p>
            <w:pPr>
              <w:pStyle w:val="Compact"/>
            </w:pPr>
            <w:r>
              <w:t xml:space="preserve">€10.764</w:t>
            </w:r>
          </w:p>
        </w:tc>
        <w:tc>
          <w:tcPr/>
          <w:p>
            <w:pPr>
              <w:pStyle w:val="Compact"/>
            </w:pPr>
            <w:r>
              <w:t xml:space="preserve">€17.964</w:t>
            </w:r>
          </w:p>
        </w:tc>
        <w:tc>
          <w:tcPr/>
          <w:p>
            <w:pPr>
              <w:pStyle w:val="Compact"/>
            </w:pPr>
            <w:r>
              <w:t xml:space="preserve">€35.964</w:t>
            </w:r>
          </w:p>
        </w:tc>
      </w:tr>
      <w:tr>
        <w:tc>
          <w:tcPr/>
          <w:p>
            <w:pPr>
              <w:pStyle w:val="Compact"/>
            </w:pPr>
            <w:r>
              <w:t xml:space="preserve">Nach Laufzeitende</w:t>
            </w:r>
          </w:p>
        </w:tc>
        <w:tc>
          <w:tcPr/>
          <w:p>
            <w:pPr>
              <w:pStyle w:val="Compact"/>
            </w:pPr>
            <w:r>
              <w:t xml:space="preserve">Hardware-Eigentum geht auf Kunden über; Service-Abo läuft weiter (opt-out möglich)</w:t>
            </w:r>
          </w:p>
        </w:tc>
        <w:tc>
          <w:tcPr/>
          <w:p>
            <w:pPr>
              <w:pStyle w:val="Compact"/>
            </w:pPr>
            <w:r>
              <w:t xml:space="preserve">←</w:t>
            </w:r>
          </w:p>
        </w:tc>
        <w:tc>
          <w:tcPr/>
          <w:p>
            <w:pPr>
              <w:pStyle w:val="Compact"/>
            </w:pPr>
            <w:r>
              <w:t xml:space="preserve">←</w:t>
            </w:r>
          </w:p>
        </w:tc>
      </w:tr>
      <w:tr>
        <w:tc>
          <w:tcPr/>
          <w:p>
            <w:pPr>
              <w:pStyle w:val="Compact"/>
            </w:pPr>
            <w:r>
              <w:rPr>
                <w:b/>
                <w:bCs/>
              </w:rPr>
              <w:t xml:space="preserve">Implikation für PrivateMind</w:t>
            </w:r>
          </w:p>
        </w:tc>
        <w:tc>
          <w:tcPr/>
          <w:p>
            <w:pPr>
              <w:pStyle w:val="Compact"/>
            </w:pPr>
            <w:r>
              <w:t xml:space="preserve">Hardware-Refinanzierung über ~14 Monate; ab Mo. 15 volle Marge</w:t>
            </w:r>
          </w:p>
        </w:tc>
        <w:tc>
          <w:tcPr/>
          <w:p>
            <w:pPr>
              <w:pStyle w:val="Compact"/>
            </w:pPr>
            <w:r>
              <w:t xml:space="preserve">←</w:t>
            </w:r>
          </w:p>
        </w:tc>
        <w:tc>
          <w:tcPr/>
          <w:p>
            <w:pPr>
              <w:pStyle w:val="Compact"/>
            </w:pPr>
            <w:r>
              <w:t xml:space="preserve">←</w:t>
            </w:r>
          </w:p>
        </w:tc>
      </w:tr>
    </w:tbl>
    <w:p>
      <w:pPr>
        <w:pStyle w:val="BodyText"/>
      </w:pPr>
      <w:r>
        <w:rPr>
          <w:b/>
          <w:bCs/>
        </w:rPr>
        <w:t xml:space="preserve">Bundle-Kalkulation (Beispiel Bundle Standard):</w:t>
      </w:r>
    </w:p>
    <w:p>
      <w:pPr>
        <w:pStyle w:val="SourceCode"/>
      </w:pPr>
      <w:r>
        <w:rPr>
          <w:rStyle w:val="VerbatimChar"/>
        </w:rPr>
        <w:t xml:space="preserve">Hardware EK:        -€3.050</w:t>
      </w:r>
      <w:r>
        <w:br/>
      </w:r>
      <w:r>
        <w:rPr>
          <w:rStyle w:val="VerbatimChar"/>
        </w:rPr>
        <w:t xml:space="preserve">Setup-Kosten:       -€200 (intern)</w:t>
      </w:r>
      <w:r>
        <w:br/>
      </w:r>
      <w:r>
        <w:rPr>
          <w:rStyle w:val="VerbatimChar"/>
        </w:rPr>
        <w:t xml:space="preserve">36× €299 Einnahmen:  +€10.764</w:t>
      </w:r>
      <w:r>
        <w:br/>
      </w:r>
      <w:r>
        <w:rPr>
          <w:rStyle w:val="VerbatimChar"/>
        </w:rPr>
        <w:t xml:space="preserve">Gesamtmarge:        ~€7.514 über 36 Monate</w:t>
      </w:r>
      <w:r>
        <w:br/>
      </w:r>
      <w:r>
        <w:rPr>
          <w:rStyle w:val="VerbatimChar"/>
        </w:rPr>
        <w:t xml:space="preserve">Ø Monatsmarge:      ~€209/Monat</w:t>
      </w:r>
      <w:r>
        <w:br/>
      </w:r>
      <w:r>
        <w:rPr>
          <w:rStyle w:val="VerbatimChar"/>
        </w:rPr>
        <w:t xml:space="preserve">ROI-Break-even:     Monat 14</w:t>
      </w:r>
    </w:p>
    <w:bookmarkEnd w:id="34"/>
    <w:bookmarkStart w:id="35" w:name="einnahmestruktur-und-priorität"/>
    <w:p>
      <w:pPr>
        <w:pStyle w:val="Heading3"/>
      </w:pPr>
      <w:r>
        <w:t xml:space="preserve">5.4 Einnahmestruktur und Priorität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Einnahmestrom</w:t>
            </w:r>
          </w:p>
        </w:tc>
        <w:tc>
          <w:tcPr/>
          <w:p>
            <w:pPr>
              <w:pStyle w:val="Compact"/>
            </w:pPr>
            <w:r>
              <w:t xml:space="preserve">Typ</w:t>
            </w:r>
          </w:p>
        </w:tc>
        <w:tc>
          <w:tcPr/>
          <w:p>
            <w:pPr>
              <w:pStyle w:val="Compact"/>
            </w:pPr>
            <w:r>
              <w:t xml:space="preserve">Zeitpunkt</w:t>
            </w:r>
          </w:p>
        </w:tc>
        <w:tc>
          <w:tcPr/>
          <w:p>
            <w:pPr>
              <w:pStyle w:val="Compact"/>
            </w:pPr>
            <w:r>
              <w:t xml:space="preserve">Strategische Bedeutung</w:t>
            </w:r>
          </w:p>
        </w:tc>
      </w:tr>
      <w:tr>
        <w:tc>
          <w:tcPr/>
          <w:p>
            <w:pPr>
              <w:pStyle w:val="Compact"/>
            </w:pPr>
            <w:r>
              <w:t xml:space="preserve">Hardware-Marge</w:t>
            </w:r>
          </w:p>
        </w:tc>
        <w:tc>
          <w:tcPr/>
          <w:p>
            <w:pPr>
              <w:pStyle w:val="Compact"/>
            </w:pPr>
            <w:r>
              <w:t xml:space="preserve">Einmalig</w:t>
            </w:r>
          </w:p>
        </w:tc>
        <w:tc>
          <w:tcPr/>
          <w:p>
            <w:pPr>
              <w:pStyle w:val="Compact"/>
            </w:pPr>
            <w:r>
              <w:t xml:space="preserve">Bei Lieferung</w:t>
            </w:r>
          </w:p>
        </w:tc>
        <w:tc>
          <w:tcPr/>
          <w:p>
            <w:pPr>
              <w:pStyle w:val="Compact"/>
            </w:pPr>
            <w:r>
              <w:t xml:space="preserve">Kurzfristige Liquidität</w:t>
            </w:r>
          </w:p>
        </w:tc>
      </w:tr>
      <w:tr>
        <w:tc>
          <w:tcPr/>
          <w:p>
            <w:pPr>
              <w:pStyle w:val="Compact"/>
            </w:pPr>
            <w:r>
              <w:t xml:space="preserve">Setup-Gebühr</w:t>
            </w:r>
          </w:p>
        </w:tc>
        <w:tc>
          <w:tcPr/>
          <w:p>
            <w:pPr>
              <w:pStyle w:val="Compact"/>
            </w:pPr>
            <w:r>
              <w:t xml:space="preserve">Einmalig</w:t>
            </w:r>
          </w:p>
        </w:tc>
        <w:tc>
          <w:tcPr/>
          <w:p>
            <w:pPr>
              <w:pStyle w:val="Compact"/>
            </w:pPr>
            <w:r>
              <w:t xml:space="preserve">Bei Inbetriebnahme</w:t>
            </w:r>
          </w:p>
        </w:tc>
        <w:tc>
          <w:tcPr/>
          <w:p>
            <w:pPr>
              <w:pStyle w:val="Compact"/>
            </w:pPr>
            <w:r>
              <w:t xml:space="preserve">Deckung Einrichtungsaufwand</w:t>
            </w:r>
          </w:p>
        </w:tc>
      </w:tr>
      <w:tr>
        <w:tc>
          <w:tcPr/>
          <w:p>
            <w:pPr>
              <w:pStyle w:val="Compact"/>
            </w:pPr>
            <w:r>
              <w:t xml:space="preserve">Monatliches Abo (Kauf-Modell)</w:t>
            </w:r>
          </w:p>
        </w:tc>
        <w:tc>
          <w:tcPr/>
          <w:p>
            <w:pPr>
              <w:pStyle w:val="Compact"/>
            </w:pPr>
            <w:r>
              <w:t xml:space="preserve">Wiederkehrend</w:t>
            </w:r>
          </w:p>
        </w:tc>
        <w:tc>
          <w:tcPr/>
          <w:p>
            <w:pPr>
              <w:pStyle w:val="Compact"/>
            </w:pPr>
            <w:r>
              <w:t xml:space="preserve">Ab Monat 1</w:t>
            </w:r>
          </w:p>
        </w:tc>
        <w:tc>
          <w:tcPr/>
          <w:p>
            <w:pPr>
              <w:pStyle w:val="Compact"/>
            </w:pPr>
            <w:r>
              <w:rPr>
                <w:b/>
                <w:bCs/>
              </w:rPr>
              <w:t xml:space="preserve">Kernumsatz, Unternehmenswert</w:t>
            </w:r>
          </w:p>
        </w:tc>
      </w:tr>
      <w:tr>
        <w:tc>
          <w:tcPr/>
          <w:p>
            <w:pPr>
              <w:pStyle w:val="Compact"/>
            </w:pPr>
            <w:r>
              <w:t xml:space="preserve">Bundle-Rate</w:t>
            </w:r>
          </w:p>
        </w:tc>
        <w:tc>
          <w:tcPr/>
          <w:p>
            <w:pPr>
              <w:pStyle w:val="Compact"/>
            </w:pPr>
            <w:r>
              <w:t xml:space="preserve">Wiederkehrend</w:t>
            </w:r>
          </w:p>
        </w:tc>
        <w:tc>
          <w:tcPr/>
          <w:p>
            <w:pPr>
              <w:pStyle w:val="Compact"/>
            </w:pPr>
            <w:r>
              <w:t xml:space="preserve">36 Monate</w:t>
            </w:r>
          </w:p>
        </w:tc>
        <w:tc>
          <w:tcPr/>
          <w:p>
            <w:pPr>
              <w:pStyle w:val="Compact"/>
            </w:pPr>
            <w:r>
              <w:t xml:space="preserve">Langfristige Bindung</w:t>
            </w:r>
          </w:p>
        </w:tc>
      </w:tr>
      <w:tr>
        <w:tc>
          <w:tcPr/>
          <w:p>
            <w:pPr>
              <w:pStyle w:val="Compact"/>
            </w:pPr>
            <w:r>
              <w:t xml:space="preserve">Zusatzleistungen</w:t>
            </w:r>
          </w:p>
        </w:tc>
        <w:tc>
          <w:tcPr/>
          <w:p>
            <w:pPr>
              <w:pStyle w:val="Compact"/>
            </w:pPr>
            <w:r>
              <w:t xml:space="preserve">Projektbezogen</w:t>
            </w:r>
          </w:p>
        </w:tc>
        <w:tc>
          <w:tcPr/>
          <w:p>
            <w:pPr>
              <w:pStyle w:val="Compact"/>
            </w:pPr>
            <w:r>
              <w:t xml:space="preserve">Ad hoc</w:t>
            </w:r>
          </w:p>
        </w:tc>
        <w:tc>
          <w:tcPr/>
          <w:p>
            <w:pPr>
              <w:pStyle w:val="Compact"/>
            </w:pPr>
            <w:r>
              <w:t xml:space="preserve">Ergänzend</w:t>
            </w:r>
          </w:p>
        </w:tc>
      </w:tr>
    </w:tbl>
    <w:p>
      <w:pPr>
        <w:pStyle w:val="BodyText"/>
      </w:pPr>
      <w:r>
        <w:rPr>
          <w:b/>
          <w:bCs/>
        </w:rPr>
        <w:t xml:space="preserve">Umsatzmix-Ziel:</w:t>
      </w:r>
      <w:r>
        <w:t xml:space="preserve"> </w:t>
      </w:r>
      <w:r>
        <w:t xml:space="preserve">Ab Jahr 2 soll der MRR (Monthly Recurring Revenue) mindestens 60% des Gesamtumsatzes ausmachen. Dieser Anteil erhöht die Prognosesicherheit und den Unternehmenswert erheblich.</w:t>
      </w:r>
    </w:p>
    <w:bookmarkEnd w:id="35"/>
    <w:bookmarkStart w:id="36" w:name="pricing-strategie"/>
    <w:p>
      <w:pPr>
        <w:pStyle w:val="Heading3"/>
      </w:pPr>
      <w:r>
        <w:t xml:space="preserve">5.5 Pricing-Strategie</w:t>
      </w:r>
    </w:p>
    <w:p>
      <w:pPr>
        <w:pStyle w:val="FirstParagraph"/>
      </w:pPr>
      <w:r>
        <w:rPr>
          <w:b/>
          <w:bCs/>
        </w:rPr>
        <w:t xml:space="preserve">Aktuelle Positionierung:</w:t>
      </w:r>
      <w:r>
        <w:t xml:space="preserve"> </w:t>
      </w:r>
      <w:r>
        <w:t xml:space="preserve">Preis-Leistungs-Führerschaft im lokalen KI-Segment. PrivateMind ist bewusst günstiger als Enterprise-Lösungen, aber teurer als reines Open-Source-Selbst-Hosten — der Preisaufschlag ist der Service und die Zeitersparnis.</w:t>
      </w:r>
    </w:p>
    <w:p>
      <w:pPr>
        <w:pStyle w:val="BodyText"/>
      </w:pPr>
      <w:r>
        <w:rPr>
          <w:b/>
          <w:bCs/>
        </w:rPr>
        <w:t xml:space="preserve">Preiserhöhungspotenzial:</w:t>
      </w:r>
      <w:r>
        <w:t xml:space="preserve"> </w:t>
      </w:r>
      <w:r>
        <w:t xml:space="preserve">Sobald Referenzkunden und Fallstudien vorhanden sind, können Preise um 10–20% angehoben werden. Preis sollte immer kommuniziert werden als</w:t>
      </w:r>
      <w:r>
        <w:t xml:space="preserve"> </w:t>
      </w:r>
      <w:r>
        <w:t xml:space="preserve">“Kosten einer Teilzeitkraft geteilt durch 10”</w:t>
      </w:r>
      <w:r>
        <w:t xml:space="preserve">.</w:t>
      </w:r>
    </w:p>
    <w:p>
      <w:pPr>
        <w:pStyle w:val="BodyText"/>
      </w:pPr>
      <w:r>
        <w:rPr>
          <w:b/>
          <w:bCs/>
        </w:rPr>
        <w:t xml:space="preserve">Vergleichsrahmen für Kundengespräche:</w:t>
      </w:r>
      <w:r>
        <w:t xml:space="preserve"> </w:t>
      </w:r>
      <w:r>
        <w:t xml:space="preserve">- Ein freiberuflicher Entwickler für KI-Setup kostet €80–€150/Stunde</w:t>
      </w:r>
      <w:r>
        <w:t xml:space="preserve"> </w:t>
      </w:r>
      <w:r>
        <w:t xml:space="preserve">- Eine SaaS-KI-Lösung mit ähnlichem Funktionsumfang: €300–€800/Monat (plus Datenschutzrisiko)</w:t>
      </w:r>
      <w:r>
        <w:t xml:space="preserve"> </w:t>
      </w:r>
      <w:r>
        <w:t xml:space="preserve">- Eine eigene IT-Stelle: €3.000–€5.000/Monat</w:t>
      </w:r>
      <w:r>
        <w:t xml:space="preserve"> </w:t>
      </w:r>
      <w:r>
        <w:t xml:space="preserve">- PrivateMind Professional: €349/Monat all-in → keine Vergleichspreise, klarer Vorteil</w:t>
      </w:r>
    </w:p>
    <w:p>
      <w:r>
        <w:pict>
          <v:rect style="width:0;height:1.5pt" o:hralign="center" o:hrstd="t" o:hr="t"/>
        </w:pict>
      </w:r>
    </w:p>
    <w:bookmarkEnd w:id="36"/>
    <w:bookmarkEnd w:id="37"/>
    <w:bookmarkStart w:id="43" w:name="marketing-vertrieb"/>
    <w:p>
      <w:pPr>
        <w:pStyle w:val="Heading2"/>
      </w:pPr>
      <w:r>
        <w:t xml:space="preserve">6. Marketing &amp; Vertrieb</w:t>
      </w:r>
    </w:p>
    <w:bookmarkStart w:id="38" w:name="vertriebsstrategie-drei-phasen-plan"/>
    <w:p>
      <w:pPr>
        <w:pStyle w:val="Heading3"/>
      </w:pPr>
      <w:r>
        <w:t xml:space="preserve">6.1 Vertriebsstrategie — Drei-Phasen-Plan</w:t>
      </w:r>
    </w:p>
    <w:p>
      <w:pPr>
        <w:pStyle w:val="FirstParagraph"/>
      </w:pPr>
      <w:r>
        <w:rPr>
          <w:b/>
          <w:bCs/>
        </w:rPr>
        <w:t xml:space="preserve">Phase 1 (Monat 1–6): Direktvertrieb &amp; Piloten in DACH</w:t>
      </w:r>
    </w:p>
    <w:p>
      <w:pPr>
        <w:pStyle w:val="BodyText"/>
      </w:pPr>
      <w:r>
        <w:t xml:space="preserve">Ziel: 3–5 Pilotkunden, 2–3 zahlende Kunden bis Monat 6.</w:t>
      </w:r>
    </w:p>
    <w:p>
      <w:pPr>
        <w:pStyle w:val="BodyText"/>
      </w:pPr>
      <w:r>
        <w:t xml:space="preserve">Kanäle und konkrete Maßnahmen:</w:t>
      </w:r>
      <w:r>
        <w:t xml:space="preserve"> </w:t>
      </w:r>
      <w:r>
        <w:t xml:space="preserve">-</w:t>
      </w:r>
      <w:r>
        <w:t xml:space="preserve"> </w:t>
      </w:r>
      <w:r>
        <w:rPr>
          <w:b/>
          <w:bCs/>
        </w:rPr>
        <w:t xml:space="preserve">LinkedIn-Direktakquise</w:t>
      </w:r>
      <w:r>
        <w:t xml:space="preserve">: Systematische Ansprache von Kanzleiinhabern, Steuerberatern, Praxis-Inhabern in DACH. Ziel: 10 qualifizierte Gespräche pro Monat.</w:t>
      </w:r>
      <w:r>
        <w:t xml:space="preserve"> </w:t>
      </w:r>
      <w:r>
        <w:t xml:space="preserve">-</w:t>
      </w:r>
      <w:r>
        <w:t xml:space="preserve"> </w:t>
      </w:r>
      <w:r>
        <w:rPr>
          <w:b/>
          <w:bCs/>
        </w:rPr>
        <w:t xml:space="preserve">Netzwerk Dresden/Silicon Saxony</w:t>
      </w:r>
      <w:r>
        <w:t xml:space="preserve">: Persönliche Kontakte aktivieren, Vorträge/Demos bei lokalen Unternehmerveranstaltungen.</w:t>
      </w:r>
      <w:r>
        <w:t xml:space="preserve"> </w:t>
      </w:r>
      <w:r>
        <w:t xml:space="preserve">-</w:t>
      </w:r>
      <w:r>
        <w:t xml:space="preserve"> </w:t>
      </w:r>
      <w:r>
        <w:rPr>
          <w:b/>
          <w:bCs/>
        </w:rPr>
        <w:t xml:space="preserve">Kaltakquise per E-Mail (personalisiert)</w:t>
      </w:r>
      <w:r>
        <w:t xml:space="preserve">: Fokus auf Datenschutz-Pain-Point, kurze Demo-Einladung.</w:t>
      </w:r>
      <w:r>
        <w:t xml:space="preserve"> </w:t>
      </w:r>
      <w:r>
        <w:t xml:space="preserve">-</w:t>
      </w:r>
      <w:r>
        <w:t xml:space="preserve"> </w:t>
      </w:r>
      <w:r>
        <w:rPr>
          <w:b/>
          <w:bCs/>
        </w:rPr>
        <w:t xml:space="preserve">Demo-Gerät nutzen</w:t>
      </w:r>
      <w:r>
        <w:t xml:space="preserve">: Jeden potenziellen Kunden mit einer Live-Demo überzeugen.</w:t>
      </w:r>
      <w:r>
        <w:t xml:space="preserve"> </w:t>
      </w:r>
      <w:r>
        <w:t xml:space="preserve">“Sehen Sie, wie Ihr Vertrag in 10 Sekunden zusammengefasst wird — lokal, ohne Cloud.”</w:t>
      </w:r>
      <w:r>
        <w:t xml:space="preserve"> </w:t>
      </w:r>
      <w:r>
        <w:t xml:space="preserve">-</w:t>
      </w:r>
      <w:r>
        <w:t xml:space="preserve"> </w:t>
      </w:r>
      <w:r>
        <w:rPr>
          <w:b/>
          <w:bCs/>
        </w:rPr>
        <w:t xml:space="preserve">Pilotkunden-Angebot</w:t>
      </w:r>
      <w:r>
        <w:t xml:space="preserve">: Erste 3–5 Kunden erhalten 20% Rabatt auf Abo für 6 Monate im Gegenzug für Testimonial und Fallstudie.</w:t>
      </w:r>
    </w:p>
    <w:p>
      <w:pPr>
        <w:pStyle w:val="BodyText"/>
      </w:pPr>
      <w:r>
        <w:rPr>
          <w:b/>
          <w:bCs/>
        </w:rPr>
        <w:t xml:space="preserve">Phase 2 (Monat 6–12): Europäische Expansion über Content &amp; Partnerships</w:t>
      </w:r>
    </w:p>
    <w:p>
      <w:pPr>
        <w:pStyle w:val="BodyText"/>
      </w:pPr>
      <w:r>
        <w:t xml:space="preserve">Ziel: 10–15 Kunden europaweit, erste Inbound-Leads.</w:t>
      </w:r>
    </w:p>
    <w:p>
      <w:pPr>
        <w:pStyle w:val="BodyText"/>
      </w:pPr>
      <w:r>
        <w:t xml:space="preserve">Kanäle:</w:t>
      </w:r>
      <w:r>
        <w:t xml:space="preserve"> </w:t>
      </w:r>
      <w:r>
        <w:t xml:space="preserve">-</w:t>
      </w:r>
      <w:r>
        <w:t xml:space="preserve"> </w:t>
      </w:r>
      <w:r>
        <w:rPr>
          <w:b/>
          <w:bCs/>
        </w:rPr>
        <w:t xml:space="preserve">Englischsprachige Website live</w:t>
      </w:r>
      <w:r>
        <w:t xml:space="preserve">: Konfigurator, Demo-Anfrage, klare Produktseiten, FAQs zu DSGVO/Datenschutz.</w:t>
      </w:r>
      <w:r>
        <w:t xml:space="preserve"> </w:t>
      </w:r>
      <w:r>
        <w:t xml:space="preserve">-</w:t>
      </w:r>
      <w:r>
        <w:t xml:space="preserve"> </w:t>
      </w:r>
      <w:r>
        <w:rPr>
          <w:b/>
          <w:bCs/>
        </w:rPr>
        <w:t xml:space="preserve">Content Marketing (Blog, LinkedIn)</w:t>
      </w:r>
      <w:r>
        <w:t xml:space="preserve">: Themen:</w:t>
      </w:r>
      <w:r>
        <w:t xml:space="preserve"> </w:t>
      </w:r>
      <w:r>
        <w:t xml:space="preserve">“AI for law firms without cloud”</w:t>
      </w:r>
      <w:r>
        <w:t xml:space="preserve">,</w:t>
      </w:r>
      <w:r>
        <w:t xml:space="preserve"> </w:t>
      </w:r>
      <w:r>
        <w:t xml:space="preserve">“GDPR-compliant AI in 2026”</w:t>
      </w:r>
      <w:r>
        <w:t xml:space="preserve">,</w:t>
      </w:r>
      <w:r>
        <w:t xml:space="preserve"> </w:t>
      </w:r>
      <w:r>
        <w:t xml:space="preserve">“How SMEs use local LLMs”</w:t>
      </w:r>
      <w:r>
        <w:t xml:space="preserve">. SEO-Fokus auf Long-Tail-Keywords.</w:t>
      </w:r>
      <w:r>
        <w:t xml:space="preserve"> </w:t>
      </w:r>
      <w:r>
        <w:t xml:space="preserve">-</w:t>
      </w:r>
      <w:r>
        <w:t xml:space="preserve"> </w:t>
      </w:r>
      <w:r>
        <w:rPr>
          <w:b/>
          <w:bCs/>
        </w:rPr>
        <w:t xml:space="preserve">IT-Partnergewinnung</w:t>
      </w:r>
      <w:r>
        <w:t xml:space="preserve">: Aktive Ansprache von IT-Dienstleistern in NL, Nordics, UK. Ziel: 2–3 Reseller-Vereinbarungen.</w:t>
      </w:r>
      <w:r>
        <w:t xml:space="preserve"> </w:t>
      </w:r>
      <w:r>
        <w:t xml:space="preserve">-</w:t>
      </w:r>
      <w:r>
        <w:t xml:space="preserve"> </w:t>
      </w:r>
      <w:r>
        <w:rPr>
          <w:b/>
          <w:bCs/>
        </w:rPr>
        <w:t xml:space="preserve">Webinare</w:t>
      </w:r>
      <w:r>
        <w:t xml:space="preserve">: Monatliches Online-Webinar auf Englisch:</w:t>
      </w:r>
      <w:r>
        <w:t xml:space="preserve"> </w:t>
      </w:r>
      <w:r>
        <w:t xml:space="preserve">“Local AI for European businesses — live demo”</w:t>
      </w:r>
      <w:r>
        <w:t xml:space="preserve">. Kostenlos, Lead-Generierung.</w:t>
      </w:r>
      <w:r>
        <w:t xml:space="preserve"> </w:t>
      </w:r>
      <w:r>
        <w:t xml:space="preserve">-</w:t>
      </w:r>
      <w:r>
        <w:t xml:space="preserve"> </w:t>
      </w:r>
      <w:r>
        <w:rPr>
          <w:b/>
          <w:bCs/>
        </w:rPr>
        <w:t xml:space="preserve">Präsenz auf Fachveranstaltungen</w:t>
      </w:r>
      <w:r>
        <w:t xml:space="preserve">: DMEXCO (Köln), CeBIT-Nachfolger, IT-Security-Messen, Branchenveranstaltungen für Kanzleien.</w:t>
      </w:r>
    </w:p>
    <w:p>
      <w:pPr>
        <w:pStyle w:val="BodyText"/>
      </w:pPr>
      <w:r>
        <w:rPr>
          <w:b/>
          <w:bCs/>
        </w:rPr>
        <w:t xml:space="preserve">Phase 3 (ab Monat 12): Skalierung &amp; Partner-Netzwerk</w:t>
      </w:r>
    </w:p>
    <w:p>
      <w:pPr>
        <w:pStyle w:val="BodyText"/>
      </w:pPr>
      <w:r>
        <w:t xml:space="preserve">Ziel: 30+ Kunden, stabiler Inbound-Kanal.</w:t>
      </w:r>
    </w:p>
    <w:p>
      <w:pPr>
        <w:pStyle w:val="BodyText"/>
      </w:pPr>
      <w:r>
        <w:t xml:space="preserve">Kanäle:</w:t>
      </w:r>
      <w:r>
        <w:t xml:space="preserve"> </w:t>
      </w:r>
      <w:r>
        <w:t xml:space="preserve">-</w:t>
      </w:r>
      <w:r>
        <w:t xml:space="preserve"> </w:t>
      </w:r>
      <w:r>
        <w:rPr>
          <w:b/>
          <w:bCs/>
        </w:rPr>
        <w:t xml:space="preserve">Reseller/MSP-Programm</w:t>
      </w:r>
      <w:r>
        <w:t xml:space="preserve">: Strukturierte Partnerschaft mit IT-Dienstleistern. Marge-Sharing (15–25% auf Abo-Einnahmen).</w:t>
      </w:r>
      <w:r>
        <w:t xml:space="preserve"> </w:t>
      </w:r>
      <w:r>
        <w:t xml:space="preserve">-</w:t>
      </w:r>
      <w:r>
        <w:t xml:space="preserve"> </w:t>
      </w:r>
      <w:r>
        <w:rPr>
          <w:b/>
          <w:bCs/>
        </w:rPr>
        <w:t xml:space="preserve">Case Studies &amp; Referenzen</w:t>
      </w:r>
      <w:r>
        <w:t xml:space="preserve">: Detaillierte Fallstudien aus Phase 1 und 2 als Vertriebs-Beschleuniger.</w:t>
      </w:r>
      <w:r>
        <w:t xml:space="preserve"> </w:t>
      </w:r>
      <w:r>
        <w:t xml:space="preserve">-</w:t>
      </w:r>
      <w:r>
        <w:t xml:space="preserve"> </w:t>
      </w:r>
      <w:r>
        <w:rPr>
          <w:b/>
          <w:bCs/>
        </w:rPr>
        <w:t xml:space="preserve">Empfehlungsprogramm</w:t>
      </w:r>
      <w:r>
        <w:t xml:space="preserve">: Bestehende Kunden erhalten 1 Monat kostenlosen Service pro empfohlenem Neukunden.</w:t>
      </w:r>
      <w:r>
        <w:t xml:space="preserve"> </w:t>
      </w:r>
      <w:r>
        <w:t xml:space="preserve">-</w:t>
      </w:r>
      <w:r>
        <w:t xml:space="preserve"> </w:t>
      </w:r>
      <w:r>
        <w:rPr>
          <w:b/>
          <w:bCs/>
        </w:rPr>
        <w:t xml:space="preserve">Lokalisierte Landingpages</w:t>
      </w:r>
      <w:r>
        <w:t xml:space="preserve">: DE, EN, NL, ggf. FR und skandinavische Sprachen.</w:t>
      </w:r>
      <w:r>
        <w:t xml:space="preserve"> </w:t>
      </w:r>
      <w:r>
        <w:t xml:space="preserve">-</w:t>
      </w:r>
      <w:r>
        <w:t xml:space="preserve"> </w:t>
      </w:r>
      <w:r>
        <w:rPr>
          <w:b/>
          <w:bCs/>
        </w:rPr>
        <w:t xml:space="preserve">Produktvergleichsseiten/G2/Capterra</w:t>
      </w:r>
      <w:r>
        <w:t xml:space="preserve">: Präsenz auf SaaS-Review-Plattformen aufbauen.</w:t>
      </w:r>
    </w:p>
    <w:bookmarkEnd w:id="38"/>
    <w:bookmarkStart w:id="39" w:name="positionierung-botschaften"/>
    <w:p>
      <w:pPr>
        <w:pStyle w:val="Heading3"/>
      </w:pPr>
      <w:r>
        <w:t xml:space="preserve">6.2 Positionierung &amp; Botschaften</w:t>
      </w:r>
    </w:p>
    <w:p>
      <w:pPr>
        <w:pStyle w:val="FirstParagraph"/>
      </w:pPr>
      <w:r>
        <w:rPr>
          <w:b/>
          <w:bCs/>
        </w:rPr>
        <w:t xml:space="preserve">Kernbotschaften (Englisch — für externe Kommunikation):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Botschaft</w:t>
            </w:r>
          </w:p>
        </w:tc>
        <w:tc>
          <w:tcPr/>
          <w:p>
            <w:pPr>
              <w:pStyle w:val="Compact"/>
            </w:pPr>
            <w:r>
              <w:t xml:space="preserve">Zielgruppe</w:t>
            </w:r>
          </w:p>
        </w:tc>
        <w:tc>
          <w:tcPr/>
          <w:p>
            <w:pPr>
              <w:pStyle w:val="Compact"/>
            </w:pPr>
            <w:r>
              <w:t xml:space="preserve">Kontext</w:t>
            </w:r>
          </w:p>
        </w:tc>
      </w:tr>
      <w:tr>
        <w:tc>
          <w:tcPr/>
          <w:p>
            <w:pPr>
              <w:pStyle w:val="Compact"/>
            </w:pPr>
            <w:r>
              <w:rPr>
                <w:i/>
                <w:iCs/>
              </w:rPr>
              <w:t xml:space="preserve">“Your data. Your AI. On your desk.”</w:t>
            </w:r>
          </w:p>
        </w:tc>
        <w:tc>
          <w:tcPr/>
          <w:p>
            <w:pPr>
              <w:pStyle w:val="Compact"/>
            </w:pPr>
            <w:r>
              <w:t xml:space="preserve">Alle</w:t>
            </w:r>
          </w:p>
        </w:tc>
        <w:tc>
          <w:tcPr/>
          <w:p>
            <w:pPr>
              <w:pStyle w:val="Compact"/>
            </w:pPr>
            <w:r>
              <w:t xml:space="preserve">Hauptslogan, überall</w:t>
            </w:r>
          </w:p>
        </w:tc>
      </w:tr>
      <w:tr>
        <w:tc>
          <w:tcPr/>
          <w:p>
            <w:pPr>
              <w:pStyle w:val="Compact"/>
            </w:pPr>
            <w:r>
              <w:rPr>
                <w:i/>
                <w:iCs/>
              </w:rPr>
              <w:t xml:space="preserve">“AI for European business — no cloud, no risk.”</w:t>
            </w:r>
          </w:p>
        </w:tc>
        <w:tc>
          <w:tcPr/>
          <w:p>
            <w:pPr>
              <w:pStyle w:val="Compact"/>
            </w:pPr>
            <w:r>
              <w:t xml:space="preserve">EU-Kunden, Datenschutz-Fokus</w:t>
            </w:r>
          </w:p>
        </w:tc>
        <w:tc>
          <w:tcPr/>
          <w:p>
            <w:pPr>
              <w:pStyle w:val="Compact"/>
            </w:pPr>
            <w:r>
              <w:t xml:space="preserve">Website-Hero, LinkedIn</w:t>
            </w:r>
          </w:p>
        </w:tc>
      </w:tr>
      <w:tr>
        <w:tc>
          <w:tcPr/>
          <w:p>
            <w:pPr>
              <w:pStyle w:val="Compact"/>
            </w:pPr>
            <w:r>
              <w:rPr>
                <w:i/>
                <w:iCs/>
              </w:rPr>
              <w:t xml:space="preserve">“The AI department that fits any budget.”</w:t>
            </w:r>
          </w:p>
        </w:tc>
        <w:tc>
          <w:tcPr/>
          <w:p>
            <w:pPr>
              <w:pStyle w:val="Compact"/>
            </w:pPr>
            <w:r>
              <w:t xml:space="preserve">KMU-Entscheider</w:t>
            </w:r>
          </w:p>
        </w:tc>
        <w:tc>
          <w:tcPr/>
          <w:p>
            <w:pPr>
              <w:pStyle w:val="Compact"/>
            </w:pPr>
            <w:r>
              <w:t xml:space="preserve">Preisseite, Pitch</w:t>
            </w:r>
          </w:p>
        </w:tc>
      </w:tr>
      <w:tr>
        <w:tc>
          <w:tcPr/>
          <w:p>
            <w:pPr>
              <w:pStyle w:val="Compact"/>
            </w:pPr>
            <w:r>
              <w:rPr>
                <w:i/>
                <w:iCs/>
              </w:rPr>
              <w:t xml:space="preserve">“Built in Europe. Stays in your office.”</w:t>
            </w:r>
          </w:p>
        </w:tc>
        <w:tc>
          <w:tcPr/>
          <w:p>
            <w:pPr>
              <w:pStyle w:val="Compact"/>
            </w:pPr>
            <w:r>
              <w:t xml:space="preserve">GDPR-sensible Branchen</w:t>
            </w:r>
          </w:p>
        </w:tc>
        <w:tc>
          <w:tcPr/>
          <w:p>
            <w:pPr>
              <w:pStyle w:val="Compact"/>
            </w:pPr>
            <w:r>
              <w:t xml:space="preserve">Regulated industries</w:t>
            </w:r>
          </w:p>
        </w:tc>
      </w:tr>
      <w:tr>
        <w:tc>
          <w:tcPr/>
          <w:p>
            <w:pPr>
              <w:pStyle w:val="Compact"/>
            </w:pPr>
            <w:r>
              <w:rPr>
                <w:i/>
                <w:iCs/>
              </w:rPr>
              <w:t xml:space="preserve">“Enterprise AI. Desk-sized. Yours.”</w:t>
            </w:r>
          </w:p>
        </w:tc>
        <w:tc>
          <w:tcPr/>
          <w:p>
            <w:pPr>
              <w:pStyle w:val="Compact"/>
            </w:pPr>
            <w:r>
              <w:t xml:space="preserve">Tech-affine Entscheider</w:t>
            </w:r>
          </w:p>
        </w:tc>
        <w:tc>
          <w:tcPr/>
          <w:p>
            <w:pPr>
              <w:pStyle w:val="Compact"/>
            </w:pPr>
            <w:r>
              <w:t xml:space="preserve">LinkedIn, Fachartikel</w:t>
            </w:r>
          </w:p>
        </w:tc>
      </w:tr>
    </w:tbl>
    <w:bookmarkEnd w:id="39"/>
    <w:bookmarkStart w:id="40" w:name="X1b7205d3fd103262b5b32a54ad76dbb1ffe88a0"/>
    <w:p>
      <w:pPr>
        <w:pStyle w:val="Heading3"/>
      </w:pPr>
      <w:r>
        <w:t xml:space="preserve">6.3 Zielkunden-Ansprache: Konkrete Ansprache-Templates</w:t>
      </w:r>
    </w:p>
    <w:p>
      <w:pPr>
        <w:pStyle w:val="FirstParagraph"/>
      </w:pPr>
      <w:r>
        <w:rPr>
          <w:b/>
          <w:bCs/>
        </w:rPr>
        <w:t xml:space="preserve">E-Mail-Template (Kanzlei):</w:t>
      </w:r>
    </w:p>
    <w:p>
      <w:pPr>
        <w:pStyle w:val="SourceCode"/>
      </w:pPr>
      <w:r>
        <w:rPr>
          <w:rStyle w:val="VerbatimChar"/>
        </w:rPr>
        <w:t xml:space="preserve">Betreff: KI für Ihre Kanzlei — ohne Cloud, ohne Datenschutzrisiko</w:t>
      </w:r>
      <w:r>
        <w:br/>
      </w:r>
      <w:r>
        <w:br/>
      </w:r>
      <w:r>
        <w:rPr>
          <w:rStyle w:val="VerbatimChar"/>
        </w:rPr>
        <w:t xml:space="preserve">Sehr geehrte/r [Name],</w:t>
      </w:r>
      <w:r>
        <w:br/>
      </w:r>
      <w:r>
        <w:br/>
      </w:r>
      <w:r>
        <w:rPr>
          <w:rStyle w:val="VerbatimChar"/>
        </w:rPr>
        <w:t xml:space="preserve">immer mehr Kanzleien nutzen KI für Dokumentenanalyse, Schriftsatzentwürfe </w:t>
      </w:r>
      <w:r>
        <w:br/>
      </w:r>
      <w:r>
        <w:rPr>
          <w:rStyle w:val="VerbatimChar"/>
        </w:rPr>
        <w:t xml:space="preserve">und Recherche. Das Problem: Die bekannten Tools (ChatGPT, Copilot) </w:t>
      </w:r>
      <w:r>
        <w:br/>
      </w:r>
      <w:r>
        <w:rPr>
          <w:rStyle w:val="VerbatimChar"/>
        </w:rPr>
        <w:t xml:space="preserve">verarbeiten Ihre Mandantendaten auf externen Servern — ein § 203 StGB-Problem.</w:t>
      </w:r>
      <w:r>
        <w:br/>
      </w:r>
      <w:r>
        <w:br/>
      </w:r>
      <w:r>
        <w:rPr>
          <w:rStyle w:val="VerbatimChar"/>
        </w:rPr>
        <w:t xml:space="preserve">PrivateMind löst das: Eine KI-Appliance, die bei Ihnen im Büro steht. </w:t>
      </w:r>
      <w:r>
        <w:br/>
      </w:r>
      <w:r>
        <w:rPr>
          <w:rStyle w:val="VerbatimChar"/>
        </w:rPr>
        <w:t xml:space="preserve">Keine Daten verlassen Ihre Kanzlei. DSGVO-konform by design.</w:t>
      </w:r>
      <w:r>
        <w:br/>
      </w:r>
      <w:r>
        <w:br/>
      </w:r>
      <w:r>
        <w:rPr>
          <w:rStyle w:val="VerbatimChar"/>
        </w:rPr>
        <w:t xml:space="preserve">Ich würde Ihnen das gerne in einer 20-minütigen Live-Demo zeigen.</w:t>
      </w:r>
      <w:r>
        <w:br/>
      </w:r>
      <w:r>
        <w:rPr>
          <w:rStyle w:val="VerbatimChar"/>
        </w:rPr>
        <w:t xml:space="preserve">Hätten Sie diese Woche einen kurzen Termin?</w:t>
      </w:r>
      <w:r>
        <w:br/>
      </w:r>
      <w:r>
        <w:br/>
      </w:r>
      <w:r>
        <w:rPr>
          <w:rStyle w:val="VerbatimChar"/>
        </w:rPr>
        <w:t xml:space="preserve">Mit freundlichen Grüßen</w:t>
      </w:r>
      <w:r>
        <w:br/>
      </w:r>
      <w:r>
        <w:rPr>
          <w:rStyle w:val="VerbatimChar"/>
        </w:rPr>
        <w:t xml:space="preserve">Raffael Reichelt [Nachname]</w:t>
      </w:r>
      <w:r>
        <w:br/>
      </w:r>
      <w:r>
        <w:rPr>
          <w:rStyle w:val="VerbatimChar"/>
        </w:rPr>
        <w:t xml:space="preserve">PrivateMind GmbH</w:t>
      </w:r>
    </w:p>
    <w:bookmarkEnd w:id="40"/>
    <w:bookmarkStart w:id="41" w:name="sprachstrategie"/>
    <w:p>
      <w:pPr>
        <w:pStyle w:val="Heading3"/>
      </w:pPr>
      <w:r>
        <w:t xml:space="preserve">6.4 Sprachstrategie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Kanal</w:t>
            </w:r>
          </w:p>
        </w:tc>
        <w:tc>
          <w:tcPr/>
          <w:p>
            <w:pPr>
              <w:pStyle w:val="Compact"/>
            </w:pPr>
            <w:r>
              <w:t xml:space="preserve">Sprache</w:t>
            </w:r>
          </w:p>
        </w:tc>
        <w:tc>
          <w:tcPr/>
          <w:p>
            <w:pPr>
              <w:pStyle w:val="Compact"/>
            </w:pPr>
            <w:r>
              <w:t xml:space="preserve">Begründung</w:t>
            </w:r>
          </w:p>
        </w:tc>
      </w:tr>
      <w:tr>
        <w:tc>
          <w:tcPr/>
          <w:p>
            <w:pPr>
              <w:pStyle w:val="Compact"/>
            </w:pPr>
            <w:r>
              <w:t xml:space="preserve">Website (primär)</w:t>
            </w:r>
          </w:p>
        </w:tc>
        <w:tc>
          <w:tcPr/>
          <w:p>
            <w:pPr>
              <w:pStyle w:val="Compact"/>
            </w:pPr>
            <w:r>
              <w:t xml:space="preserve">Englisch</w:t>
            </w:r>
          </w:p>
        </w:tc>
        <w:tc>
          <w:tcPr/>
          <w:p>
            <w:pPr>
              <w:pStyle w:val="Compact"/>
            </w:pPr>
            <w:r>
              <w:t xml:space="preserve">Europäischer Markt, internationale SEO</w:t>
            </w:r>
          </w:p>
        </w:tc>
      </w:tr>
      <w:tr>
        <w:tc>
          <w:tcPr/>
          <w:p>
            <w:pPr>
              <w:pStyle w:val="Compact"/>
            </w:pPr>
            <w:r>
              <w:t xml:space="preserve">Website (sekundär)</w:t>
            </w:r>
          </w:p>
        </w:tc>
        <w:tc>
          <w:tcPr/>
          <w:p>
            <w:pPr>
              <w:pStyle w:val="Compact"/>
            </w:pPr>
            <w:r>
              <w:t xml:space="preserve">Deutsch</w:t>
            </w:r>
          </w:p>
        </w:tc>
        <w:tc>
          <w:tcPr/>
          <w:p>
            <w:pPr>
              <w:pStyle w:val="Compact"/>
            </w:pPr>
            <w:r>
              <w:t xml:space="preserve">DACH-Markt, Erstphase</w:t>
            </w:r>
          </w:p>
        </w:tc>
      </w:tr>
      <w:tr>
        <w:tc>
          <w:tcPr/>
          <w:p>
            <w:pPr>
              <w:pStyle w:val="Compact"/>
            </w:pPr>
            <w:r>
              <w:t xml:space="preserve">Vertriebsmaterialien</w:t>
            </w:r>
          </w:p>
        </w:tc>
        <w:tc>
          <w:tcPr/>
          <w:p>
            <w:pPr>
              <w:pStyle w:val="Compact"/>
            </w:pPr>
            <w:r>
              <w:t xml:space="preserve">Englisch</w:t>
            </w:r>
          </w:p>
        </w:tc>
        <w:tc>
          <w:tcPr/>
          <w:p>
            <w:pPr>
              <w:pStyle w:val="Compact"/>
            </w:pPr>
            <w:r>
              <w:t xml:space="preserve">Einheitlich für alle Märkte</w:t>
            </w:r>
          </w:p>
        </w:tc>
      </w:tr>
      <w:tr>
        <w:tc>
          <w:tcPr/>
          <w:p>
            <w:pPr>
              <w:pStyle w:val="Compact"/>
            </w:pPr>
            <w:r>
              <w:t xml:space="preserve">Technischer Support</w:t>
            </w:r>
          </w:p>
        </w:tc>
        <w:tc>
          <w:tcPr/>
          <w:p>
            <w:pPr>
              <w:pStyle w:val="Compact"/>
            </w:pPr>
            <w:r>
              <w:t xml:space="preserve">Englisch (primär), Deutsch</w:t>
            </w:r>
          </w:p>
        </w:tc>
        <w:tc>
          <w:tcPr/>
          <w:p>
            <w:pPr>
              <w:pStyle w:val="Compact"/>
            </w:pPr>
            <w:r>
              <w:t xml:space="preserve">Skalierbarkeit</w:t>
            </w:r>
          </w:p>
        </w:tc>
      </w:tr>
      <w:tr>
        <w:tc>
          <w:tcPr/>
          <w:p>
            <w:pPr>
              <w:pStyle w:val="Compact"/>
            </w:pPr>
            <w:r>
              <w:t xml:space="preserve">Content Marketing</w:t>
            </w:r>
          </w:p>
        </w:tc>
        <w:tc>
          <w:tcPr/>
          <w:p>
            <w:pPr>
              <w:pStyle w:val="Compact"/>
            </w:pPr>
            <w:r>
              <w:t xml:space="preserve">Englisch</w:t>
            </w:r>
          </w:p>
        </w:tc>
        <w:tc>
          <w:tcPr/>
          <w:p>
            <w:pPr>
              <w:pStyle w:val="Compact"/>
            </w:pPr>
            <w:r>
              <w:t xml:space="preserve">Reichweite Europa</w:t>
            </w:r>
          </w:p>
        </w:tc>
      </w:tr>
      <w:tr>
        <w:tc>
          <w:tcPr/>
          <w:p>
            <w:pPr>
              <w:pStyle w:val="Compact"/>
            </w:pPr>
            <w:r>
              <w:t xml:space="preserve">Lokale Veranstaltungen DACH</w:t>
            </w:r>
          </w:p>
        </w:tc>
        <w:tc>
          <w:tcPr/>
          <w:p>
            <w:pPr>
              <w:pStyle w:val="Compact"/>
            </w:pPr>
            <w:r>
              <w:t xml:space="preserve">Deutsch</w:t>
            </w:r>
          </w:p>
        </w:tc>
        <w:tc>
          <w:tcPr/>
          <w:p>
            <w:pPr>
              <w:pStyle w:val="Compact"/>
            </w:pPr>
            <w:r>
              <w:t xml:space="preserve">Zielgruppengerecht</w:t>
            </w:r>
          </w:p>
        </w:tc>
      </w:tr>
      <w:tr>
        <w:tc>
          <w:tcPr/>
          <w:p>
            <w:pPr>
              <w:pStyle w:val="Compact"/>
            </w:pPr>
            <w:r>
              <w:t xml:space="preserve">Verträge &amp; AGBs</w:t>
            </w:r>
          </w:p>
        </w:tc>
        <w:tc>
          <w:tcPr/>
          <w:p>
            <w:pPr>
              <w:pStyle w:val="Compact"/>
            </w:pPr>
            <w:r>
              <w:t xml:space="preserve">Englisch + Deutsch</w:t>
            </w:r>
          </w:p>
        </w:tc>
        <w:tc>
          <w:tcPr/>
          <w:p>
            <w:pPr>
              <w:pStyle w:val="Compact"/>
            </w:pPr>
            <w:r>
              <w:t xml:space="preserve">Rechtssicherheit beide Märkte</w:t>
            </w:r>
          </w:p>
        </w:tc>
      </w:tr>
    </w:tbl>
    <w:bookmarkEnd w:id="41"/>
    <w:bookmarkStart w:id="42" w:name="vertriebsmetriken-kpis"/>
    <w:p>
      <w:pPr>
        <w:pStyle w:val="Heading3"/>
      </w:pPr>
      <w:r>
        <w:t xml:space="preserve">6.5 Vertriebsmetriken (KPIs)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Kennzahl</w:t>
            </w:r>
          </w:p>
        </w:tc>
        <w:tc>
          <w:tcPr/>
          <w:p>
            <w:pPr>
              <w:pStyle w:val="Compact"/>
            </w:pPr>
            <w:r>
              <w:t xml:space="preserve">Ziel Monat 6</w:t>
            </w:r>
          </w:p>
        </w:tc>
        <w:tc>
          <w:tcPr/>
          <w:p>
            <w:pPr>
              <w:pStyle w:val="Compact"/>
            </w:pPr>
            <w:r>
              <w:t xml:space="preserve">Ziel Monat 12</w:t>
            </w:r>
          </w:p>
        </w:tc>
        <w:tc>
          <w:tcPr/>
          <w:p>
            <w:pPr>
              <w:pStyle w:val="Compact"/>
            </w:pPr>
            <w:r>
              <w:t xml:space="preserve">Ziel Jahr 2</w:t>
            </w:r>
          </w:p>
        </w:tc>
      </w:tr>
      <w:tr>
        <w:tc>
          <w:tcPr/>
          <w:p>
            <w:pPr>
              <w:pStyle w:val="Compact"/>
            </w:pPr>
            <w:r>
              <w:t xml:space="preserve">Qualifizierte Gespräche/Monat</w:t>
            </w:r>
          </w:p>
        </w:tc>
        <w:tc>
          <w:tcPr/>
          <w:p>
            <w:pPr>
              <w:pStyle w:val="Compact"/>
            </w:pPr>
            <w:r>
              <w:t xml:space="preserve">5</w:t>
            </w:r>
          </w:p>
        </w:tc>
        <w:tc>
          <w:tcPr/>
          <w:p>
            <w:pPr>
              <w:pStyle w:val="Compact"/>
            </w:pPr>
            <w:r>
              <w:t xml:space="preserve">15</w:t>
            </w:r>
          </w:p>
        </w:tc>
        <w:tc>
          <w:tcPr/>
          <w:p>
            <w:pPr>
              <w:pStyle w:val="Compact"/>
            </w:pPr>
            <w:r>
              <w:t xml:space="preserve">30</w:t>
            </w:r>
          </w:p>
        </w:tc>
      </w:tr>
      <w:tr>
        <w:tc>
          <w:tcPr/>
          <w:p>
            <w:pPr>
              <w:pStyle w:val="Compact"/>
            </w:pPr>
            <w:r>
              <w:t xml:space="preserve">Angebote versandt</w:t>
            </w:r>
          </w:p>
        </w:tc>
        <w:tc>
          <w:tcPr/>
          <w:p>
            <w:pPr>
              <w:pStyle w:val="Compact"/>
            </w:pPr>
            <w:r>
              <w:t xml:space="preserve">3</w:t>
            </w:r>
          </w:p>
        </w:tc>
        <w:tc>
          <w:tcPr/>
          <w:p>
            <w:pPr>
              <w:pStyle w:val="Compact"/>
            </w:pPr>
            <w:r>
              <w:t xml:space="preserve">8</w:t>
            </w:r>
          </w:p>
        </w:tc>
        <w:tc>
          <w:tcPr/>
          <w:p>
            <w:pPr>
              <w:pStyle w:val="Compact"/>
            </w:pPr>
            <w:r>
              <w:t xml:space="preserve">20</w:t>
            </w:r>
          </w:p>
        </w:tc>
      </w:tr>
      <w:tr>
        <w:tc>
          <w:tcPr/>
          <w:p>
            <w:pPr>
              <w:pStyle w:val="Compact"/>
            </w:pPr>
            <w:r>
              <w:t xml:space="preserve">Conversion Rate (Angebot → Abschluss)</w:t>
            </w:r>
          </w:p>
        </w:tc>
        <w:tc>
          <w:tcPr/>
          <w:p>
            <w:pPr>
              <w:pStyle w:val="Compact"/>
            </w:pPr>
            <w:r>
              <w:t xml:space="preserve">30%</w:t>
            </w:r>
          </w:p>
        </w:tc>
        <w:tc>
          <w:tcPr/>
          <w:p>
            <w:pPr>
              <w:pStyle w:val="Compact"/>
            </w:pPr>
            <w:r>
              <w:t xml:space="preserve">35%</w:t>
            </w:r>
          </w:p>
        </w:tc>
        <w:tc>
          <w:tcPr/>
          <w:p>
            <w:pPr>
              <w:pStyle w:val="Compact"/>
            </w:pPr>
            <w:r>
              <w:t xml:space="preserve">40%</w:t>
            </w:r>
          </w:p>
        </w:tc>
      </w:tr>
      <w:tr>
        <w:tc>
          <w:tcPr/>
          <w:p>
            <w:pPr>
              <w:pStyle w:val="Compact"/>
            </w:pPr>
            <w:r>
              <w:t xml:space="preserve">Neue Kunden/Monat</w:t>
            </w:r>
          </w:p>
        </w:tc>
        <w:tc>
          <w:tcPr/>
          <w:p>
            <w:pPr>
              <w:pStyle w:val="Compact"/>
            </w:pPr>
            <w:r>
              <w:t xml:space="preserve">1</w:t>
            </w:r>
          </w:p>
        </w:tc>
        <w:tc>
          <w:tcPr/>
          <w:p>
            <w:pPr>
              <w:pStyle w:val="Compact"/>
            </w:pPr>
            <w:r>
              <w:t xml:space="preserve">2–3</w:t>
            </w:r>
          </w:p>
        </w:tc>
        <w:tc>
          <w:tcPr/>
          <w:p>
            <w:pPr>
              <w:pStyle w:val="Compact"/>
            </w:pPr>
            <w:r>
              <w:t xml:space="preserve">4–6</w:t>
            </w:r>
          </w:p>
        </w:tc>
      </w:tr>
      <w:tr>
        <w:tc>
          <w:tcPr/>
          <w:p>
            <w:pPr>
              <w:pStyle w:val="Compact"/>
            </w:pPr>
            <w:r>
              <w:t xml:space="preserve">Monatliche Inbound-Leads (Website)</w:t>
            </w:r>
          </w:p>
        </w:tc>
        <w:tc>
          <w:tcPr/>
          <w:p>
            <w:pPr>
              <w:pStyle w:val="Compact"/>
            </w:pPr>
            <w:r>
              <w:t xml:space="preserve">0</w:t>
            </w:r>
          </w:p>
        </w:tc>
        <w:tc>
          <w:tcPr/>
          <w:p>
            <w:pPr>
              <w:pStyle w:val="Compact"/>
            </w:pPr>
            <w:r>
              <w:t xml:space="preserve">5</w:t>
            </w:r>
          </w:p>
        </w:tc>
        <w:tc>
          <w:tcPr/>
          <w:p>
            <w:pPr>
              <w:pStyle w:val="Compact"/>
            </w:pPr>
            <w:r>
              <w:t xml:space="preserve">20</w:t>
            </w:r>
          </w:p>
        </w:tc>
      </w:tr>
      <w:tr>
        <w:tc>
          <w:tcPr/>
          <w:p>
            <w:pPr>
              <w:pStyle w:val="Compact"/>
            </w:pPr>
            <w:r>
              <w:t xml:space="preserve">NPS Bestandskunden</w:t>
            </w:r>
          </w:p>
        </w:tc>
        <w:tc>
          <w:tcPr/>
          <w:p>
            <w:pPr>
              <w:pStyle w:val="Compact"/>
            </w:pPr>
            <w:r>
              <w:t xml:space="preserve">—</w:t>
            </w:r>
          </w:p>
        </w:tc>
        <w:tc>
          <w:tcPr/>
          <w:p>
            <w:pPr>
              <w:pStyle w:val="Compact"/>
            </w:pPr>
            <w:r>
              <w:t xml:space="preserve">&gt;50</w:t>
            </w:r>
          </w:p>
        </w:tc>
        <w:tc>
          <w:tcPr/>
          <w:p>
            <w:pPr>
              <w:pStyle w:val="Compact"/>
            </w:pPr>
            <w:r>
              <w:t xml:space="preserve">&gt;60</w:t>
            </w:r>
          </w:p>
        </w:tc>
      </w:tr>
    </w:tbl>
    <w:p>
      <w:r>
        <w:pict>
          <v:rect style="width:0;height:1.5pt" o:hralign="center" o:hrstd="t" o:hr="t"/>
        </w:pict>
      </w:r>
    </w:p>
    <w:bookmarkEnd w:id="42"/>
    <w:bookmarkEnd w:id="43"/>
    <w:bookmarkStart w:id="48" w:name="organisation-aufbau"/>
    <w:p>
      <w:pPr>
        <w:pStyle w:val="Heading2"/>
      </w:pPr>
      <w:r>
        <w:t xml:space="preserve">7. Organisation &amp; Aufbau</w:t>
      </w:r>
    </w:p>
    <w:bookmarkStart w:id="44" w:name="gründerprofil"/>
    <w:p>
      <w:pPr>
        <w:pStyle w:val="Heading3"/>
      </w:pPr>
      <w:r>
        <w:t xml:space="preserve">7.1 Gründerprofil</w:t>
      </w:r>
    </w:p>
    <w:p>
      <w:pPr>
        <w:pStyle w:val="FirstParagraph"/>
      </w:pPr>
      <w:r>
        <w:rPr>
          <w:b/>
          <w:bCs/>
        </w:rPr>
        <w:t xml:space="preserve">Raffael Reichelt — Gründer und Geschäftsführer</w:t>
      </w:r>
    </w:p>
    <w:p>
      <w:pPr>
        <w:pStyle w:val="BodyText"/>
      </w:pPr>
      <w:r>
        <w:rPr>
          <w:i/>
          <w:iCs/>
        </w:rPr>
        <w:t xml:space="preserve">Hintergrund:</w:t>
      </w:r>
      <w:r>
        <w:t xml:space="preserve"> </w:t>
      </w:r>
      <w:r>
        <w:t xml:space="preserve">Jahrzehntelange Erfahrung als Softwareentwickler in der IT-Branche. Tiefes technisches Verständnis von Systemarchitektur, Software-Entwicklung und IT-Infrastruktur. Kombination aus Hands-on-Entwickler-Mentalität und strategischem Denken.</w:t>
      </w:r>
    </w:p>
    <w:p>
      <w:pPr>
        <w:pStyle w:val="BodyText"/>
      </w:pPr>
      <w:r>
        <w:rPr>
          <w:i/>
          <w:iCs/>
        </w:rPr>
        <w:t xml:space="preserve">Relevante Kompetenzen für PrivateMind:</w:t>
      </w:r>
      <w:r>
        <w:t xml:space="preserve"> </w:t>
      </w:r>
      <w:r>
        <w:t xml:space="preserve">-</w:t>
      </w:r>
      <w:r>
        <w:t xml:space="preserve"> </w:t>
      </w:r>
      <w:r>
        <w:rPr>
          <w:b/>
          <w:bCs/>
        </w:rPr>
        <w:t xml:space="preserve">Software-Entwicklung</w:t>
      </w:r>
      <w:r>
        <w:t xml:space="preserve">: Eigenentwicklung des PrivateMind Dashboards und der Update-Pipeline — kein externer Entwickler für das MVP nötig, senkt Gründungskosten signifikant</w:t>
      </w:r>
      <w:r>
        <w:t xml:space="preserve"> </w:t>
      </w:r>
      <w:r>
        <w:t xml:space="preserve">-</w:t>
      </w:r>
      <w:r>
        <w:t xml:space="preserve"> </w:t>
      </w:r>
      <w:r>
        <w:rPr>
          <w:b/>
          <w:bCs/>
        </w:rPr>
        <w:t xml:space="preserve">Systemadministration &amp; Linux</w:t>
      </w:r>
      <w:r>
        <w:t xml:space="preserve">: NVIDIA DGX OS ist Ubuntu-basiert — vollständige Handlungsfähigkeit für Hardware-Setup, Netzwerk-Integration, Troubleshooting</w:t>
      </w:r>
      <w:r>
        <w:t xml:space="preserve"> </w:t>
      </w:r>
      <w:r>
        <w:t xml:space="preserve">-</w:t>
      </w:r>
      <w:r>
        <w:t xml:space="preserve"> </w:t>
      </w:r>
      <w:r>
        <w:rPr>
          <w:b/>
          <w:bCs/>
        </w:rPr>
        <w:t xml:space="preserve">Technischer Kundensupport</w:t>
      </w:r>
      <w:r>
        <w:t xml:space="preserve">: Direkte Problemlösung ohne Delegation in der Frühphase</w:t>
      </w:r>
      <w:r>
        <w:t xml:space="preserve"> </w:t>
      </w:r>
      <w:r>
        <w:t xml:space="preserve">-</w:t>
      </w:r>
      <w:r>
        <w:t xml:space="preserve"> </w:t>
      </w:r>
      <w:r>
        <w:rPr>
          <w:b/>
          <w:bCs/>
        </w:rPr>
        <w:t xml:space="preserve">Vertrieb und Kommunikation</w:t>
      </w:r>
      <w:r>
        <w:t xml:space="preserve">: Fähigkeit, technisch komplexe Lösungen verständlich zu erklären</w:t>
      </w:r>
    </w:p>
    <w:p>
      <w:pPr>
        <w:pStyle w:val="BodyText"/>
      </w:pPr>
      <w:r>
        <w:rPr>
          <w:i/>
          <w:iCs/>
        </w:rPr>
        <w:t xml:space="preserve">Kompetenzlücken &amp; Kompensation:</w:t>
      </w:r>
      <w:r>
        <w:t xml:space="preserve"> </w:t>
      </w:r>
      <w:r>
        <w:t xml:space="preserve">-</w:t>
      </w:r>
      <w:r>
        <w:t xml:space="preserve"> </w:t>
      </w:r>
      <w:r>
        <w:rPr>
          <w:b/>
          <w:bCs/>
        </w:rPr>
        <w:t xml:space="preserve">Vertrieb/Sales</w:t>
      </w:r>
      <w:r>
        <w:t xml:space="preserve">: Erfahrung aufbauen durch systematische Akquise, ggf. Vertriebspartner in Phase 2</w:t>
      </w:r>
      <w:r>
        <w:t xml:space="preserve"> </w:t>
      </w:r>
      <w:r>
        <w:t xml:space="preserve">-</w:t>
      </w:r>
      <w:r>
        <w:t xml:space="preserve"> </w:t>
      </w:r>
      <w:r>
        <w:rPr>
          <w:b/>
          <w:bCs/>
        </w:rPr>
        <w:t xml:space="preserve">Buchhaltung/Steuer</w:t>
      </w:r>
      <w:r>
        <w:t xml:space="preserve">: Steuerberater wird frühzeitig eingebunden</w:t>
      </w:r>
      <w:r>
        <w:t xml:space="preserve"> </w:t>
      </w:r>
      <w:r>
        <w:t xml:space="preserve">-</w:t>
      </w:r>
      <w:r>
        <w:t xml:space="preserve"> </w:t>
      </w:r>
      <w:r>
        <w:rPr>
          <w:b/>
          <w:bCs/>
        </w:rPr>
        <w:t xml:space="preserve">Recht</w:t>
      </w:r>
      <w:r>
        <w:t xml:space="preserve">: Rechtsanwalt für AGB, Verträge, DSGVO-Dokumentation</w:t>
      </w:r>
    </w:p>
    <w:p>
      <w:pPr>
        <w:pStyle w:val="BodyText"/>
      </w:pPr>
      <w:r>
        <w:rPr>
          <w:i/>
          <w:iCs/>
        </w:rPr>
        <w:t xml:space="preserve">Warum dieser Gründer, warum jetzt:</w:t>
      </w:r>
      <w:r>
        <w:t xml:space="preserve"> </w:t>
      </w:r>
      <w:r>
        <w:t xml:space="preserve">Die Gründungsidee entstand aus konkreter Marktbeobachtung: Die neue NVIDIA-Hardware-Generation ermöglicht erstmals eine wirklich schlüsselfertige lokale KI-Lösung in KMU-Preisrahmen. Das technologische Fenster ist jetzt — und ein Softwareentwickler mit Systemkenntnissen ist ideal positioniert, um genau dieses Produkt zu bauen und zu supporten.</w:t>
      </w:r>
    </w:p>
    <w:bookmarkEnd w:id="44"/>
    <w:bookmarkStart w:id="45" w:name="startaufstellung-ein-personen-gmbh"/>
    <w:p>
      <w:pPr>
        <w:pStyle w:val="Heading3"/>
      </w:pPr>
      <w:r>
        <w:t xml:space="preserve">7.2 Startaufstellung (Ein-Personen-GmbH)</w:t>
      </w:r>
    </w:p>
    <w:p>
      <w:pPr>
        <w:pStyle w:val="FirstParagraph"/>
      </w:pPr>
      <w:r>
        <w:t xml:space="preserve">In der Gründungsphase übernimmt der Gründer alle Rollen — bewusst und mit Plan: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Rolle</w:t>
            </w:r>
          </w:p>
        </w:tc>
        <w:tc>
          <w:tcPr/>
          <w:p>
            <w:pPr>
              <w:pStyle w:val="Compact"/>
            </w:pPr>
            <w:r>
              <w:t xml:space="preserve">Aufgaben</w:t>
            </w:r>
          </w:p>
        </w:tc>
        <w:tc>
          <w:tcPr/>
          <w:p>
            <w:pPr>
              <w:pStyle w:val="Compact"/>
            </w:pPr>
            <w:r>
              <w:t xml:space="preserve">Zeitanteil (ca.)</w:t>
            </w:r>
          </w:p>
        </w:tc>
      </w:tr>
      <w:tr>
        <w:tc>
          <w:tcPr/>
          <w:p>
            <w:pPr>
              <w:pStyle w:val="Compact"/>
            </w:pPr>
            <w:r>
              <w:t xml:space="preserve">Geschäftsführung</w:t>
            </w:r>
          </w:p>
        </w:tc>
        <w:tc>
          <w:tcPr/>
          <w:p>
            <w:pPr>
              <w:pStyle w:val="Compact"/>
            </w:pPr>
            <w:r>
              <w:t xml:space="preserve">Strategie, Finanzen, Rechtliches, Partnergespräche</w:t>
            </w:r>
          </w:p>
        </w:tc>
        <w:tc>
          <w:tcPr/>
          <w:p>
            <w:pPr>
              <w:pStyle w:val="Compact"/>
            </w:pPr>
            <w:r>
              <w:t xml:space="preserve">15%</w:t>
            </w:r>
          </w:p>
        </w:tc>
      </w:tr>
      <w:tr>
        <w:tc>
          <w:tcPr/>
          <w:p>
            <w:pPr>
              <w:pStyle w:val="Compact"/>
            </w:pPr>
            <w:r>
              <w:t xml:space="preserve">Produktentwicklung</w:t>
            </w:r>
          </w:p>
        </w:tc>
        <w:tc>
          <w:tcPr/>
          <w:p>
            <w:pPr>
              <w:pStyle w:val="Compact"/>
            </w:pPr>
            <w:r>
              <w:t xml:space="preserve">Dashboard-Entwicklung, Software-Stack, Update-Pipeline</w:t>
            </w:r>
          </w:p>
        </w:tc>
        <w:tc>
          <w:tcPr/>
          <w:p>
            <w:pPr>
              <w:pStyle w:val="Compact"/>
            </w:pPr>
            <w:r>
              <w:t xml:space="preserve">35%</w:t>
            </w:r>
          </w:p>
        </w:tc>
      </w:tr>
      <w:tr>
        <w:tc>
          <w:tcPr/>
          <w:p>
            <w:pPr>
              <w:pStyle w:val="Compact"/>
            </w:pPr>
            <w:r>
              <w:t xml:space="preserve">Technischer Support</w:t>
            </w:r>
          </w:p>
        </w:tc>
        <w:tc>
          <w:tcPr/>
          <w:p>
            <w:pPr>
              <w:pStyle w:val="Compact"/>
            </w:pPr>
            <w:r>
              <w:t xml:space="preserve">Kunden-Setup, Troubleshooting, Monitoring</w:t>
            </w:r>
          </w:p>
        </w:tc>
        <w:tc>
          <w:tcPr/>
          <w:p>
            <w:pPr>
              <w:pStyle w:val="Compact"/>
            </w:pPr>
            <w:r>
              <w:t xml:space="preserve">20%</w:t>
            </w:r>
          </w:p>
        </w:tc>
      </w:tr>
      <w:tr>
        <w:tc>
          <w:tcPr/>
          <w:p>
            <w:pPr>
              <w:pStyle w:val="Compact"/>
            </w:pPr>
            <w:r>
              <w:t xml:space="preserve">Vertrieb</w:t>
            </w:r>
          </w:p>
        </w:tc>
        <w:tc>
          <w:tcPr/>
          <w:p>
            <w:pPr>
              <w:pStyle w:val="Compact"/>
            </w:pPr>
            <w:r>
              <w:t xml:space="preserve">Akquise, Demos, Angebote, Kundenpflege</w:t>
            </w:r>
          </w:p>
        </w:tc>
        <w:tc>
          <w:tcPr/>
          <w:p>
            <w:pPr>
              <w:pStyle w:val="Compact"/>
            </w:pPr>
            <w:r>
              <w:t xml:space="preserve">20%</w:t>
            </w:r>
          </w:p>
        </w:tc>
      </w:tr>
      <w:tr>
        <w:tc>
          <w:tcPr/>
          <w:p>
            <w:pPr>
              <w:pStyle w:val="Compact"/>
            </w:pPr>
            <w:r>
              <w:t xml:space="preserve">Marketing</w:t>
            </w:r>
          </w:p>
        </w:tc>
        <w:tc>
          <w:tcPr/>
          <w:p>
            <w:pPr>
              <w:pStyle w:val="Compact"/>
            </w:pPr>
            <w:r>
              <w:t xml:space="preserve">Content, LinkedIn, Website</w:t>
            </w:r>
          </w:p>
        </w:tc>
        <w:tc>
          <w:tcPr/>
          <w:p>
            <w:pPr>
              <w:pStyle w:val="Compact"/>
            </w:pPr>
            <w:r>
              <w:t xml:space="preserve">10%</w:t>
            </w:r>
          </w:p>
        </w:tc>
      </w:tr>
    </w:tbl>
    <w:bookmarkEnd w:id="45"/>
    <w:bookmarkStart w:id="46" w:name="skalierungsplan"/>
    <w:p>
      <w:pPr>
        <w:pStyle w:val="Heading3"/>
      </w:pPr>
      <w:r>
        <w:t xml:space="preserve">7.3 Skalierungsplan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Kunden (kumuliert)</w:t>
            </w:r>
          </w:p>
        </w:tc>
        <w:tc>
          <w:tcPr/>
          <w:p>
            <w:pPr>
              <w:pStyle w:val="Compact"/>
            </w:pPr>
            <w:r>
              <w:t xml:space="preserve">Mitarbeiterzahl</w:t>
            </w:r>
          </w:p>
        </w:tc>
        <w:tc>
          <w:tcPr/>
          <w:p>
            <w:pPr>
              <w:pStyle w:val="Compact"/>
            </w:pPr>
            <w:r>
              <w:t xml:space="preserve">Erste neue Rollen</w:t>
            </w:r>
          </w:p>
        </w:tc>
        <w:tc>
          <w:tcPr/>
          <w:p>
            <w:pPr>
              <w:pStyle w:val="Compact"/>
            </w:pPr>
            <w:r>
              <w:t xml:space="preserve">Personalkosten/Monat (ca.)</w:t>
            </w:r>
          </w:p>
        </w:tc>
      </w:tr>
      <w:tr>
        <w:tc>
          <w:tcPr/>
          <w:p>
            <w:pPr>
              <w:pStyle w:val="Compact"/>
            </w:pPr>
            <w:r>
              <w:t xml:space="preserve">1–10</w:t>
            </w:r>
          </w:p>
        </w:tc>
        <w:tc>
          <w:tcPr/>
          <w:p>
            <w:pPr>
              <w:pStyle w:val="Compact"/>
            </w:pPr>
            <w:r>
              <w:t xml:space="preserve">1 (Gründer)</w:t>
            </w:r>
          </w:p>
        </w:tc>
        <w:tc>
          <w:tcPr/>
          <w:p>
            <w:pPr>
              <w:pStyle w:val="Compact"/>
            </w:pPr>
            <w:r>
              <w:t xml:space="preserve">—</w:t>
            </w:r>
          </w:p>
        </w:tc>
        <w:tc>
          <w:tcPr/>
          <w:p>
            <w:pPr>
              <w:pStyle w:val="Compact"/>
            </w:pPr>
            <w:r>
              <w:t xml:space="preserve">€3.000–€4.000 GF-Gehalt</w:t>
            </w:r>
          </w:p>
        </w:tc>
      </w:tr>
      <w:tr>
        <w:tc>
          <w:tcPr/>
          <w:p>
            <w:pPr>
              <w:pStyle w:val="Compact"/>
            </w:pPr>
            <w:r>
              <w:t xml:space="preserve">10–20</w:t>
            </w:r>
          </w:p>
        </w:tc>
        <w:tc>
          <w:tcPr/>
          <w:p>
            <w:pPr>
              <w:pStyle w:val="Compact"/>
            </w:pPr>
            <w:r>
              <w:t xml:space="preserve">2</w:t>
            </w:r>
          </w:p>
        </w:tc>
        <w:tc>
          <w:tcPr/>
          <w:p>
            <w:pPr>
              <w:pStyle w:val="Compact"/>
            </w:pPr>
            <w:r>
              <w:t xml:space="preserve">Werkstudent/Freelancer Support</w:t>
            </w:r>
          </w:p>
        </w:tc>
        <w:tc>
          <w:tcPr/>
          <w:p>
            <w:pPr>
              <w:pStyle w:val="Compact"/>
            </w:pPr>
            <w:r>
              <w:t xml:space="preserve">+€1.500–€2.500</w:t>
            </w:r>
          </w:p>
        </w:tc>
      </w:tr>
      <w:tr>
        <w:tc>
          <w:tcPr/>
          <w:p>
            <w:pPr>
              <w:pStyle w:val="Compact"/>
            </w:pPr>
            <w:r>
              <w:t xml:space="preserve">20–35</w:t>
            </w:r>
          </w:p>
        </w:tc>
        <w:tc>
          <w:tcPr/>
          <w:p>
            <w:pPr>
              <w:pStyle w:val="Compact"/>
            </w:pPr>
            <w:r>
              <w:t xml:space="preserve">3</w:t>
            </w:r>
          </w:p>
        </w:tc>
        <w:tc>
          <w:tcPr/>
          <w:p>
            <w:pPr>
              <w:pStyle w:val="Compact"/>
            </w:pPr>
            <w:r>
              <w:t xml:space="preserve">Vollzeit Technical Support</w:t>
            </w:r>
          </w:p>
        </w:tc>
        <w:tc>
          <w:tcPr/>
          <w:p>
            <w:pPr>
              <w:pStyle w:val="Compact"/>
            </w:pPr>
            <w:r>
              <w:t xml:space="preserve">+€2.500–€3.500</w:t>
            </w:r>
          </w:p>
        </w:tc>
      </w:tr>
      <w:tr>
        <w:tc>
          <w:tcPr/>
          <w:p>
            <w:pPr>
              <w:pStyle w:val="Compact"/>
            </w:pPr>
            <w:r>
              <w:t xml:space="preserve">35–50</w:t>
            </w:r>
          </w:p>
        </w:tc>
        <w:tc>
          <w:tcPr/>
          <w:p>
            <w:pPr>
              <w:pStyle w:val="Compact"/>
            </w:pPr>
            <w:r>
              <w:t xml:space="preserve">4–5</w:t>
            </w:r>
          </w:p>
        </w:tc>
        <w:tc>
          <w:tcPr/>
          <w:p>
            <w:pPr>
              <w:pStyle w:val="Compact"/>
            </w:pPr>
            <w:r>
              <w:t xml:space="preserve">Vertrieb/Account Manager</w:t>
            </w:r>
          </w:p>
        </w:tc>
        <w:tc>
          <w:tcPr/>
          <w:p>
            <w:pPr>
              <w:pStyle w:val="Compact"/>
            </w:pPr>
            <w:r>
              <w:t xml:space="preserve">+€2.500–€3.500</w:t>
            </w:r>
          </w:p>
        </w:tc>
      </w:tr>
      <w:tr>
        <w:tc>
          <w:tcPr/>
          <w:p>
            <w:pPr>
              <w:pStyle w:val="Compact"/>
            </w:pPr>
            <w:r>
              <w:t xml:space="preserve">50–80</w:t>
            </w:r>
          </w:p>
        </w:tc>
        <w:tc>
          <w:tcPr/>
          <w:p>
            <w:pPr>
              <w:pStyle w:val="Compact"/>
            </w:pPr>
            <w:r>
              <w:t xml:space="preserve">6–7</w:t>
            </w:r>
          </w:p>
        </w:tc>
        <w:tc>
          <w:tcPr/>
          <w:p>
            <w:pPr>
              <w:pStyle w:val="Compact"/>
            </w:pPr>
            <w:r>
              <w:t xml:space="preserve">Entwickler (Dashboard V2+)</w:t>
            </w:r>
          </w:p>
        </w:tc>
        <w:tc>
          <w:tcPr/>
          <w:p>
            <w:pPr>
              <w:pStyle w:val="Compact"/>
            </w:pPr>
            <w:r>
              <w:t xml:space="preserve">+€4.000–€5.000</w:t>
            </w:r>
          </w:p>
        </w:tc>
      </w:tr>
      <w:tr>
        <w:tc>
          <w:tcPr/>
          <w:p>
            <w:pPr>
              <w:pStyle w:val="Compact"/>
            </w:pPr>
            <w:r>
              <w:t xml:space="preserve">80+</w:t>
            </w:r>
          </w:p>
        </w:tc>
        <w:tc>
          <w:tcPr/>
          <w:p>
            <w:pPr>
              <w:pStyle w:val="Compact"/>
            </w:pPr>
            <w:r>
              <w:t xml:space="preserve">8+</w:t>
            </w:r>
          </w:p>
        </w:tc>
        <w:tc>
          <w:tcPr/>
          <w:p>
            <w:pPr>
              <w:pStyle w:val="Compact"/>
            </w:pPr>
            <w:r>
              <w:t xml:space="preserve">Teamleiter Support, Marketing</w:t>
            </w:r>
          </w:p>
        </w:tc>
        <w:tc>
          <w:tcPr/>
          <w:p>
            <w:pPr>
              <w:pStyle w:val="Compact"/>
            </w:pPr>
            <w:r>
              <w:t xml:space="preserve">individuell</w:t>
            </w:r>
          </w:p>
        </w:tc>
      </w:tr>
    </w:tbl>
    <w:bookmarkEnd w:id="46"/>
    <w:bookmarkStart w:id="47" w:name="standortvorteil-dresden"/>
    <w:p>
      <w:pPr>
        <w:pStyle w:val="Heading3"/>
      </w:pPr>
      <w:r>
        <w:t xml:space="preserve">7.4 Standortvorteil Dresden</w:t>
      </w:r>
    </w:p>
    <w:p>
      <w:pPr>
        <w:pStyle w:val="FirstParagraph"/>
      </w:pPr>
      <w:r>
        <w:t xml:space="preserve">Dresden bietet strukturelle Vorteile, die für ein KI-Hardware-Startup in der Frühphase erheblich ins Gewicht fallen:</w:t>
      </w:r>
    </w:p>
    <w:p>
      <w:pPr>
        <w:pStyle w:val="Compact"/>
        <w:numPr>
          <w:ilvl w:val="0"/>
          <w:numId w:val="1008"/>
        </w:numPr>
      </w:pPr>
      <w:r>
        <w:rPr>
          <w:b/>
          <w:bCs/>
        </w:rPr>
        <w:t xml:space="preserve">Personalkosten 20–30% unter München/Hamburg/Berlin</w:t>
      </w:r>
      <w:r>
        <w:t xml:space="preserve"> </w:t>
      </w:r>
      <w:r>
        <w:t xml:space="preserve">— bei gleichem Qualifikationsniveau (TU Dresden, HTW)</w:t>
      </w:r>
    </w:p>
    <w:p>
      <w:pPr>
        <w:pStyle w:val="Compact"/>
        <w:numPr>
          <w:ilvl w:val="0"/>
          <w:numId w:val="1008"/>
        </w:numPr>
      </w:pPr>
      <w:r>
        <w:rPr>
          <w:b/>
          <w:bCs/>
        </w:rPr>
        <w:t xml:space="preserve">Silicon Saxony e.V.</w:t>
      </w:r>
      <w:r>
        <w:t xml:space="preserve"> </w:t>
      </w:r>
      <w:r>
        <w:t xml:space="preserve">— das größte Hightech-Cluster Ostdeutschlands, mit direktem Zugang zu Netzwerk, Events und Lieferantenbeziehungen</w:t>
      </w:r>
    </w:p>
    <w:p>
      <w:pPr>
        <w:pStyle w:val="Compact"/>
        <w:numPr>
          <w:ilvl w:val="0"/>
          <w:numId w:val="1008"/>
        </w:numPr>
      </w:pPr>
      <w:r>
        <w:rPr>
          <w:b/>
          <w:bCs/>
        </w:rPr>
        <w:t xml:space="preserve">dresden|exists</w:t>
      </w:r>
      <w:r>
        <w:t xml:space="preserve"> </w:t>
      </w:r>
      <w:r>
        <w:t xml:space="preserve">— Startup-Ökosystem der TU Dresden mit Mentoring, SAB-Antragsbegleitung, Büroinfrastruktur</w:t>
      </w:r>
    </w:p>
    <w:p>
      <w:pPr>
        <w:pStyle w:val="Compact"/>
        <w:numPr>
          <w:ilvl w:val="0"/>
          <w:numId w:val="1008"/>
        </w:numPr>
      </w:pPr>
      <w:r>
        <w:rPr>
          <w:b/>
          <w:bCs/>
        </w:rPr>
        <w:t xml:space="preserve">GRW-Lohnkostenzuschüsse</w:t>
      </w:r>
      <w:r>
        <w:t xml:space="preserve"> </w:t>
      </w:r>
      <w:r>
        <w:t xml:space="preserve">(Gemeinschaftsaufgabe Wirtschaftsstruktur) für neue Arbeitsplätze in Sachsen</w:t>
      </w:r>
    </w:p>
    <w:p>
      <w:pPr>
        <w:pStyle w:val="Compact"/>
        <w:numPr>
          <w:ilvl w:val="0"/>
          <w:numId w:val="1008"/>
        </w:numPr>
      </w:pPr>
      <w:r>
        <w:rPr>
          <w:b/>
          <w:bCs/>
        </w:rPr>
        <w:t xml:space="preserve">Halbleiter-Ökosystem</w:t>
      </w:r>
      <w:r>
        <w:t xml:space="preserve">: TSMC, Infineon, Globalfoundries in der Region — Affinität zu Hardware-Themen bei lokalen Talenten</w:t>
      </w:r>
    </w:p>
    <w:p>
      <w:r>
        <w:pict>
          <v:rect style="width:0;height:1.5pt" o:hralign="center" o:hrstd="t" o:hr="t"/>
        </w:pict>
      </w:r>
    </w:p>
    <w:bookmarkEnd w:id="47"/>
    <w:bookmarkEnd w:id="48"/>
    <w:bookmarkStart w:id="55" w:name="finanzplanung"/>
    <w:p>
      <w:pPr>
        <w:pStyle w:val="Heading2"/>
      </w:pPr>
      <w:r>
        <w:t xml:space="preserve">8. Finanzplanung</w:t>
      </w:r>
    </w:p>
    <w:bookmarkStart w:id="49" w:name="gründungskosten-einmalig"/>
    <w:p>
      <w:pPr>
        <w:pStyle w:val="Heading3"/>
      </w:pPr>
      <w:r>
        <w:t xml:space="preserve">8.1 Gründungskosten (einmalig)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Position</w:t>
            </w:r>
          </w:p>
        </w:tc>
        <w:tc>
          <w:tcPr/>
          <w:p>
            <w:pPr>
              <w:pStyle w:val="Compact"/>
            </w:pPr>
            <w:r>
              <w:t xml:space="preserve">Betrag (netto, ca.)</w:t>
            </w:r>
          </w:p>
        </w:tc>
        <w:tc>
          <w:tcPr/>
          <w:p>
            <w:pPr>
              <w:pStyle w:val="Compact"/>
            </w:pPr>
            <w:r>
              <w:t xml:space="preserve">Anmerkung</w:t>
            </w:r>
          </w:p>
        </w:tc>
      </w:tr>
      <w:tr>
        <w:tc>
          <w:tcPr/>
          <w:p>
            <w:pPr>
              <w:pStyle w:val="Compact"/>
            </w:pPr>
            <w:r>
              <w:t xml:space="preserve">GmbH-Gründung (Notar, Handelsregister, Stammkapital)</w:t>
            </w:r>
          </w:p>
        </w:tc>
        <w:tc>
          <w:tcPr/>
          <w:p>
            <w:pPr>
              <w:pStyle w:val="Compact"/>
            </w:pPr>
            <w:r>
              <w:t xml:space="preserve">€26.500</w:t>
            </w:r>
          </w:p>
        </w:tc>
        <w:tc>
          <w:tcPr/>
          <w:p>
            <w:pPr>
              <w:pStyle w:val="Compact"/>
            </w:pPr>
            <w:r>
              <w:t xml:space="preserve">Stammkapital €25.000 + ~€1.500 Gebühren</w:t>
            </w:r>
          </w:p>
        </w:tc>
      </w:tr>
      <w:tr>
        <w:tc>
          <w:tcPr/>
          <w:p>
            <w:pPr>
              <w:pStyle w:val="Compact"/>
            </w:pPr>
            <w:r>
              <w:t xml:space="preserve">Demo-/Testgerät (1× GX10, 2 TB)</w:t>
            </w:r>
          </w:p>
        </w:tc>
        <w:tc>
          <w:tcPr/>
          <w:p>
            <w:pPr>
              <w:pStyle w:val="Compact"/>
            </w:pPr>
            <w:r>
              <w:t xml:space="preserve">€3.550</w:t>
            </w:r>
          </w:p>
        </w:tc>
        <w:tc>
          <w:tcPr/>
          <w:p>
            <w:pPr>
              <w:pStyle w:val="Compact"/>
            </w:pPr>
            <w:r>
              <w:t xml:space="preserve">Beschaffung so früh wie möglich</w:t>
            </w:r>
          </w:p>
        </w:tc>
      </w:tr>
      <w:tr>
        <w:tc>
          <w:tcPr/>
          <w:p>
            <w:pPr>
              <w:pStyle w:val="Compact"/>
            </w:pPr>
            <w:r>
              <w:t xml:space="preserve">Website &amp; Branding</w:t>
            </w:r>
          </w:p>
        </w:tc>
        <w:tc>
          <w:tcPr/>
          <w:p>
            <w:pPr>
              <w:pStyle w:val="Compact"/>
            </w:pPr>
            <w:r>
              <w:t xml:space="preserve">€3.000–€6.000</w:t>
            </w:r>
          </w:p>
        </w:tc>
        <w:tc>
          <w:tcPr/>
          <w:p>
            <w:pPr>
              <w:pStyle w:val="Compact"/>
            </w:pPr>
            <w:r>
              <w:t xml:space="preserve">Inkl. Domain, Hosting, Design-Grundlage</w:t>
            </w:r>
          </w:p>
        </w:tc>
      </w:tr>
      <w:tr>
        <w:tc>
          <w:tcPr/>
          <w:p>
            <w:pPr>
              <w:pStyle w:val="Compact"/>
            </w:pPr>
            <w:r>
              <w:t xml:space="preserve">Software-Entwicklung Dashboard MVP</w:t>
            </w:r>
          </w:p>
        </w:tc>
        <w:tc>
          <w:tcPr/>
          <w:p>
            <w:pPr>
              <w:pStyle w:val="Compact"/>
            </w:pPr>
            <w:r>
              <w:t xml:space="preserve">€0</w:t>
            </w:r>
          </w:p>
        </w:tc>
        <w:tc>
          <w:tcPr/>
          <w:p>
            <w:pPr>
              <w:pStyle w:val="Compact"/>
            </w:pPr>
            <w:r>
              <w:t xml:space="preserve">Eigenleistung des Gründers</w:t>
            </w:r>
          </w:p>
        </w:tc>
      </w:tr>
      <w:tr>
        <w:tc>
          <w:tcPr/>
          <w:p>
            <w:pPr>
              <w:pStyle w:val="Compact"/>
            </w:pPr>
            <w:r>
              <w:t xml:space="preserve">Rechtsberatung (AGB, Verträge, DSGVO-Dokumentation)</w:t>
            </w:r>
          </w:p>
        </w:tc>
        <w:tc>
          <w:tcPr/>
          <w:p>
            <w:pPr>
              <w:pStyle w:val="Compact"/>
            </w:pPr>
            <w:r>
              <w:t xml:space="preserve">€3.000–€5.000</w:t>
            </w:r>
          </w:p>
        </w:tc>
        <w:tc>
          <w:tcPr/>
          <w:p>
            <w:pPr>
              <w:pStyle w:val="Compact"/>
            </w:pPr>
            <w:r>
              <w:t xml:space="preserve">Einmalig, unbedingt nötig</w:t>
            </w:r>
          </w:p>
        </w:tc>
      </w:tr>
      <w:tr>
        <w:tc>
          <w:tcPr/>
          <w:p>
            <w:pPr>
              <w:pStyle w:val="Compact"/>
            </w:pPr>
            <w:r>
              <w:t xml:space="preserve">Steuerberatung (Erstberatung + Einrichtung)</w:t>
            </w:r>
          </w:p>
        </w:tc>
        <w:tc>
          <w:tcPr/>
          <w:p>
            <w:pPr>
              <w:pStyle w:val="Compact"/>
            </w:pPr>
            <w:r>
              <w:t xml:space="preserve">€500–€1.000</w:t>
            </w:r>
          </w:p>
        </w:tc>
        <w:tc>
          <w:tcPr/>
          <w:p>
            <w:pPr>
              <w:pStyle w:val="Compact"/>
            </w:pPr>
          </w:p>
        </w:tc>
      </w:tr>
      <w:tr>
        <w:tc>
          <w:tcPr/>
          <w:p>
            <w:pPr>
              <w:pStyle w:val="Compact"/>
            </w:pPr>
            <w:r>
              <w:t xml:space="preserve">Erstausstattung Büro/IT</w:t>
            </w:r>
          </w:p>
        </w:tc>
        <w:tc>
          <w:tcPr/>
          <w:p>
            <w:pPr>
              <w:pStyle w:val="Compact"/>
            </w:pPr>
            <w:r>
              <w:t xml:space="preserve">€1.000–€2.000</w:t>
            </w:r>
          </w:p>
        </w:tc>
        <w:tc>
          <w:tcPr/>
          <w:p>
            <w:pPr>
              <w:pStyle w:val="Compact"/>
            </w:pPr>
            <w:r>
              <w:t xml:space="preserve">Minimal</w:t>
            </w:r>
          </w:p>
        </w:tc>
      </w:tr>
      <w:tr>
        <w:tc>
          <w:tcPr/>
          <w:p>
            <w:pPr>
              <w:pStyle w:val="Compact"/>
            </w:pPr>
            <w:r>
              <w:t xml:space="preserve">Versicherungen (Erstprämien)</w:t>
            </w:r>
          </w:p>
        </w:tc>
        <w:tc>
          <w:tcPr/>
          <w:p>
            <w:pPr>
              <w:pStyle w:val="Compact"/>
            </w:pPr>
            <w:r>
              <w:t xml:space="preserve">€500–€800</w:t>
            </w:r>
          </w:p>
        </w:tc>
        <w:tc>
          <w:tcPr/>
          <w:p>
            <w:pPr>
              <w:pStyle w:val="Compact"/>
            </w:pPr>
            <w:r>
              <w:t xml:space="preserve">Betriebshaftpflicht, D&amp;O</w:t>
            </w:r>
          </w:p>
        </w:tc>
      </w:tr>
      <w:tr>
        <w:tc>
          <w:tcPr/>
          <w:p>
            <w:pPr>
              <w:pStyle w:val="Compact"/>
            </w:pPr>
            <w:r>
              <w:t xml:space="preserve">Marketing-Startmaterialien</w:t>
            </w:r>
          </w:p>
        </w:tc>
        <w:tc>
          <w:tcPr/>
          <w:p>
            <w:pPr>
              <w:pStyle w:val="Compact"/>
            </w:pPr>
            <w:r>
              <w:t xml:space="preserve">€500–€1.000</w:t>
            </w:r>
          </w:p>
        </w:tc>
        <w:tc>
          <w:tcPr/>
          <w:p>
            <w:pPr>
              <w:pStyle w:val="Compact"/>
            </w:pPr>
            <w:r>
              <w:t xml:space="preserve">Pitch Deck, Broschüren</w:t>
            </w:r>
          </w:p>
        </w:tc>
      </w:tr>
      <w:tr>
        <w:tc>
          <w:tcPr/>
          <w:p>
            <w:pPr>
              <w:pStyle w:val="Compact"/>
            </w:pPr>
            <w:r>
              <w:rPr>
                <w:b/>
                <w:bCs/>
              </w:rPr>
              <w:t xml:space="preserve">Gesamt Gründungskosten</w:t>
            </w:r>
          </w:p>
        </w:tc>
        <w:tc>
          <w:tcPr/>
          <w:p>
            <w:pPr>
              <w:pStyle w:val="Compact"/>
            </w:pPr>
            <w:r>
              <w:rPr>
                <w:b/>
                <w:bCs/>
              </w:rPr>
              <w:t xml:space="preserve">€38.550–€47.350</w:t>
            </w:r>
          </w:p>
        </w:tc>
        <w:tc>
          <w:tcPr/>
          <w:p>
            <w:pPr>
              <w:pStyle w:val="Compact"/>
            </w:pPr>
          </w:p>
        </w:tc>
      </w:tr>
    </w:tbl>
    <w:p>
      <w:pPr>
        <w:pStyle w:val="BodyText"/>
      </w:pPr>
      <w:r>
        <w:rPr>
          <w:i/>
          <w:iCs/>
        </w:rPr>
        <w:t xml:space="preserve">Das Stammkapital (€25.000) ist Eigenkapital des Unternehmens, keine Ausgabe — bleibt als Liquiditätspuffer.</w:t>
      </w:r>
    </w:p>
    <w:bookmarkEnd w:id="49"/>
    <w:bookmarkStart w:id="50" w:name="monatliche-fixkosten-betriebsphase"/>
    <w:p>
      <w:pPr>
        <w:pStyle w:val="Heading3"/>
      </w:pPr>
      <w:r>
        <w:t xml:space="preserve">8.2 Monatliche Fixkosten (Betriebsphase)</w:t>
      </w:r>
    </w:p>
    <w:p>
      <w:pPr>
        <w:pStyle w:val="FirstParagraph"/>
      </w:pPr>
      <w:r>
        <w:rPr>
          <w:b/>
          <w:bCs/>
        </w:rPr>
        <w:t xml:space="preserve">Startphase (Monat 1–12, Ein-Personen-Betrieb):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Position</w:t>
            </w:r>
          </w:p>
        </w:tc>
        <w:tc>
          <w:tcPr/>
          <w:p>
            <w:pPr>
              <w:pStyle w:val="Compact"/>
            </w:pPr>
            <w:r>
              <w:t xml:space="preserve">Betrag/Monat (ca.)</w:t>
            </w:r>
          </w:p>
        </w:tc>
        <w:tc>
          <w:tcPr/>
          <w:p>
            <w:pPr>
              <w:pStyle w:val="Compact"/>
            </w:pPr>
            <w:r>
              <w:t xml:space="preserve">Low</w:t>
            </w:r>
          </w:p>
        </w:tc>
        <w:tc>
          <w:tcPr/>
          <w:p>
            <w:pPr>
              <w:pStyle w:val="Compact"/>
            </w:pPr>
            <w:r>
              <w:t xml:space="preserve">High</w:t>
            </w:r>
          </w:p>
        </w:tc>
      </w:tr>
      <w:tr>
        <w:tc>
          <w:tcPr/>
          <w:p>
            <w:pPr>
              <w:pStyle w:val="Compact"/>
            </w:pPr>
            <w:r>
              <w:t xml:space="preserve">GF-Gehalt (netto)</w:t>
            </w:r>
          </w:p>
        </w:tc>
        <w:tc>
          <w:tcPr/>
          <w:p>
            <w:pPr>
              <w:pStyle w:val="Compact"/>
            </w:pPr>
            <w:r>
              <w:t xml:space="preserve">€2.000–€3.000</w:t>
            </w:r>
          </w:p>
        </w:tc>
        <w:tc>
          <w:tcPr/>
          <w:p>
            <w:pPr>
              <w:pStyle w:val="Compact"/>
            </w:pPr>
            <w:r>
              <w:t xml:space="preserve">€2.000</w:t>
            </w:r>
          </w:p>
        </w:tc>
        <w:tc>
          <w:tcPr/>
          <w:p>
            <w:pPr>
              <w:pStyle w:val="Compact"/>
            </w:pPr>
            <w:r>
              <w:t xml:space="preserve">€3.000</w:t>
            </w:r>
          </w:p>
        </w:tc>
      </w:tr>
      <w:tr>
        <w:tc>
          <w:tcPr/>
          <w:p>
            <w:pPr>
              <w:pStyle w:val="Compact"/>
            </w:pPr>
            <w:r>
              <w:t xml:space="preserve">GF-Gehalt inkl. Lohnnebenkosten (GmbH-intern)</w:t>
            </w:r>
          </w:p>
        </w:tc>
        <w:tc>
          <w:tcPr/>
          <w:p>
            <w:pPr>
              <w:pStyle w:val="Compact"/>
            </w:pPr>
            <w:r>
              <w:t xml:space="preserve">€3.000–€4.500</w:t>
            </w:r>
          </w:p>
        </w:tc>
        <w:tc>
          <w:tcPr/>
          <w:p>
            <w:pPr>
              <w:pStyle w:val="Compact"/>
            </w:pPr>
            <w:r>
              <w:t xml:space="preserve">€3.000</w:t>
            </w:r>
          </w:p>
        </w:tc>
        <w:tc>
          <w:tcPr/>
          <w:p>
            <w:pPr>
              <w:pStyle w:val="Compact"/>
            </w:pPr>
            <w:r>
              <w:t xml:space="preserve">€4.500</w:t>
            </w:r>
          </w:p>
        </w:tc>
      </w:tr>
      <w:tr>
        <w:tc>
          <w:tcPr/>
          <w:p>
            <w:pPr>
              <w:pStyle w:val="Compact"/>
            </w:pPr>
            <w:r>
              <w:t xml:space="preserve">Büro/Coworking</w:t>
            </w:r>
          </w:p>
        </w:tc>
        <w:tc>
          <w:tcPr/>
          <w:p>
            <w:pPr>
              <w:pStyle w:val="Compact"/>
            </w:pPr>
            <w:r>
              <w:t xml:space="preserve">€300–€500</w:t>
            </w:r>
          </w:p>
        </w:tc>
        <w:tc>
          <w:tcPr/>
          <w:p>
            <w:pPr>
              <w:pStyle w:val="Compact"/>
            </w:pPr>
            <w:r>
              <w:t xml:space="preserve">€300</w:t>
            </w:r>
          </w:p>
        </w:tc>
        <w:tc>
          <w:tcPr/>
          <w:p>
            <w:pPr>
              <w:pStyle w:val="Compact"/>
            </w:pPr>
            <w:r>
              <w:t xml:space="preserve">€500</w:t>
            </w:r>
          </w:p>
        </w:tc>
      </w:tr>
      <w:tr>
        <w:tc>
          <w:tcPr/>
          <w:p>
            <w:pPr>
              <w:pStyle w:val="Compact"/>
            </w:pPr>
            <w:r>
              <w:t xml:space="preserve">Betriebshaftpflicht &amp; Versicherungen</w:t>
            </w:r>
          </w:p>
        </w:tc>
        <w:tc>
          <w:tcPr/>
          <w:p>
            <w:pPr>
              <w:pStyle w:val="Compact"/>
            </w:pPr>
            <w:r>
              <w:t xml:space="preserve">€150–€300</w:t>
            </w:r>
          </w:p>
        </w:tc>
        <w:tc>
          <w:tcPr/>
          <w:p>
            <w:pPr>
              <w:pStyle w:val="Compact"/>
            </w:pPr>
            <w:r>
              <w:t xml:space="preserve">€150</w:t>
            </w:r>
          </w:p>
        </w:tc>
        <w:tc>
          <w:tcPr/>
          <w:p>
            <w:pPr>
              <w:pStyle w:val="Compact"/>
            </w:pPr>
            <w:r>
              <w:t xml:space="preserve">€300</w:t>
            </w:r>
          </w:p>
        </w:tc>
      </w:tr>
      <w:tr>
        <w:tc>
          <w:tcPr/>
          <w:p>
            <w:pPr>
              <w:pStyle w:val="Compact"/>
            </w:pPr>
            <w:r>
              <w:t xml:space="preserve">Software-Lizenzen &amp; Tools</w:t>
            </w:r>
          </w:p>
        </w:tc>
        <w:tc>
          <w:tcPr/>
          <w:p>
            <w:pPr>
              <w:pStyle w:val="Compact"/>
            </w:pPr>
            <w:r>
              <w:t xml:space="preserve">€100–€200</w:t>
            </w:r>
          </w:p>
        </w:tc>
        <w:tc>
          <w:tcPr/>
          <w:p>
            <w:pPr>
              <w:pStyle w:val="Compact"/>
            </w:pPr>
            <w:r>
              <w:t xml:space="preserve">€100</w:t>
            </w:r>
          </w:p>
        </w:tc>
        <w:tc>
          <w:tcPr/>
          <w:p>
            <w:pPr>
              <w:pStyle w:val="Compact"/>
            </w:pPr>
            <w:r>
              <w:t xml:space="preserve">€200</w:t>
            </w:r>
          </w:p>
        </w:tc>
      </w:tr>
      <w:tr>
        <w:tc>
          <w:tcPr/>
          <w:p>
            <w:pPr>
              <w:pStyle w:val="Compact"/>
            </w:pPr>
            <w:r>
              <w:t xml:space="preserve">Marketing &amp; Werbung (digital)</w:t>
            </w:r>
          </w:p>
        </w:tc>
        <w:tc>
          <w:tcPr/>
          <w:p>
            <w:pPr>
              <w:pStyle w:val="Compact"/>
            </w:pPr>
            <w:r>
              <w:t xml:space="preserve">€300–€700</w:t>
            </w:r>
          </w:p>
        </w:tc>
        <w:tc>
          <w:tcPr/>
          <w:p>
            <w:pPr>
              <w:pStyle w:val="Compact"/>
            </w:pPr>
            <w:r>
              <w:t xml:space="preserve">€300</w:t>
            </w:r>
          </w:p>
        </w:tc>
        <w:tc>
          <w:tcPr/>
          <w:p>
            <w:pPr>
              <w:pStyle w:val="Compact"/>
            </w:pPr>
            <w:r>
              <w:t xml:space="preserve">€700</w:t>
            </w:r>
          </w:p>
        </w:tc>
      </w:tr>
      <w:tr>
        <w:tc>
          <w:tcPr/>
          <w:p>
            <w:pPr>
              <w:pStyle w:val="Compact"/>
            </w:pPr>
            <w:r>
              <w:t xml:space="preserve">Steuerberater (laufend)</w:t>
            </w:r>
          </w:p>
        </w:tc>
        <w:tc>
          <w:tcPr/>
          <w:p>
            <w:pPr>
              <w:pStyle w:val="Compact"/>
            </w:pPr>
            <w:r>
              <w:t xml:space="preserve">€150–€300</w:t>
            </w:r>
          </w:p>
        </w:tc>
        <w:tc>
          <w:tcPr/>
          <w:p>
            <w:pPr>
              <w:pStyle w:val="Compact"/>
            </w:pPr>
            <w:r>
              <w:t xml:space="preserve">€150</w:t>
            </w:r>
          </w:p>
        </w:tc>
        <w:tc>
          <w:tcPr/>
          <w:p>
            <w:pPr>
              <w:pStyle w:val="Compact"/>
            </w:pPr>
            <w:r>
              <w:t xml:space="preserve">€300</w:t>
            </w:r>
          </w:p>
        </w:tc>
      </w:tr>
      <w:tr>
        <w:tc>
          <w:tcPr/>
          <w:p>
            <w:pPr>
              <w:pStyle w:val="Compact"/>
            </w:pPr>
            <w:r>
              <w:t xml:space="preserve">Telefon, Internet, Sonstiges</w:t>
            </w:r>
          </w:p>
        </w:tc>
        <w:tc>
          <w:tcPr/>
          <w:p>
            <w:pPr>
              <w:pStyle w:val="Compact"/>
            </w:pPr>
            <w:r>
              <w:t xml:space="preserve">€100–€150</w:t>
            </w:r>
          </w:p>
        </w:tc>
        <w:tc>
          <w:tcPr/>
          <w:p>
            <w:pPr>
              <w:pStyle w:val="Compact"/>
            </w:pPr>
            <w:r>
              <w:t xml:space="preserve">€100</w:t>
            </w:r>
          </w:p>
        </w:tc>
        <w:tc>
          <w:tcPr/>
          <w:p>
            <w:pPr>
              <w:pStyle w:val="Compact"/>
            </w:pPr>
            <w:r>
              <w:t xml:space="preserve">€150</w:t>
            </w:r>
          </w:p>
        </w:tc>
      </w:tr>
      <w:tr>
        <w:tc>
          <w:tcPr/>
          <w:p>
            <w:pPr>
              <w:pStyle w:val="Compact"/>
            </w:pPr>
            <w:r>
              <w:rPr>
                <w:b/>
                <w:bCs/>
              </w:rPr>
              <w:t xml:space="preserve">Summe Fixkosten/Monat</w:t>
            </w:r>
          </w:p>
        </w:tc>
        <w:tc>
          <w:tcPr/>
          <w:p>
            <w:pPr>
              <w:pStyle w:val="Compact"/>
            </w:pPr>
          </w:p>
        </w:tc>
        <w:tc>
          <w:tcPr/>
          <w:p>
            <w:pPr>
              <w:pStyle w:val="Compact"/>
            </w:pPr>
            <w:r>
              <w:rPr>
                <w:b/>
                <w:bCs/>
              </w:rPr>
              <w:t xml:space="preserve">€4.100</w:t>
            </w:r>
          </w:p>
        </w:tc>
        <w:tc>
          <w:tcPr/>
          <w:p>
            <w:pPr>
              <w:pStyle w:val="Compact"/>
            </w:pPr>
            <w:r>
              <w:rPr>
                <w:b/>
                <w:bCs/>
              </w:rPr>
              <w:t xml:space="preserve">€6.650</w:t>
            </w:r>
          </w:p>
        </w:tc>
      </w:tr>
      <w:tr>
        <w:tc>
          <w:tcPr/>
          <w:p>
            <w:pPr>
              <w:pStyle w:val="Compact"/>
            </w:pPr>
            <w:r>
              <w:rPr>
                <w:b/>
                <w:bCs/>
              </w:rPr>
              <w:t xml:space="preserve">Jahres-Fixkosten</w:t>
            </w:r>
          </w:p>
        </w:tc>
        <w:tc>
          <w:tcPr/>
          <w:p>
            <w:pPr>
              <w:pStyle w:val="Compact"/>
            </w:pPr>
          </w:p>
        </w:tc>
        <w:tc>
          <w:tcPr/>
          <w:p>
            <w:pPr>
              <w:pStyle w:val="Compact"/>
            </w:pPr>
            <w:r>
              <w:rPr>
                <w:b/>
                <w:bCs/>
              </w:rPr>
              <w:t xml:space="preserve">€49.200</w:t>
            </w:r>
          </w:p>
        </w:tc>
        <w:tc>
          <w:tcPr/>
          <w:p>
            <w:pPr>
              <w:pStyle w:val="Compact"/>
            </w:pPr>
            <w:r>
              <w:rPr>
                <w:b/>
                <w:bCs/>
              </w:rPr>
              <w:t xml:space="preserve">€79.800</w:t>
            </w:r>
          </w:p>
        </w:tc>
      </w:tr>
    </w:tbl>
    <w:p>
      <w:pPr>
        <w:pStyle w:val="BodyText"/>
      </w:pPr>
      <w:r>
        <w:rPr>
          <w:i/>
          <w:iCs/>
        </w:rPr>
        <w:t xml:space="preserve">Planungsbasis: Mittelwert ~€5.400/Monat, ~€64.800/Jahr</w:t>
      </w:r>
    </w:p>
    <w:bookmarkEnd w:id="50"/>
    <w:bookmarkStart w:id="51" w:name="Xed42b029ddbdfb116b579a169bb939faec69984"/>
    <w:p>
      <w:pPr>
        <w:pStyle w:val="Heading3"/>
      </w:pPr>
      <w:r>
        <w:t xml:space="preserve">8.3 Monatliche Umsatz- und Liquiditätsplanung — Jahr 1 (Konservatives Szenario)</w:t>
      </w:r>
    </w:p>
    <w:p>
      <w:pPr>
        <w:pStyle w:val="FirstParagraph"/>
      </w:pPr>
      <w:r>
        <w:t xml:space="preserve">Annahmen: Gründung Monat 1, erste Umsätze Monat 3, je 1 Neukunde/Monat ab Monat 4, Mix 60% Standard / 30% Professional / 10% Premium.</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Monat</w:t>
            </w:r>
          </w:p>
        </w:tc>
        <w:tc>
          <w:tcPr/>
          <w:p>
            <w:pPr>
              <w:pStyle w:val="Compact"/>
            </w:pPr>
            <w:r>
              <w:t xml:space="preserve">Neue Kunden</w:t>
            </w:r>
          </w:p>
        </w:tc>
        <w:tc>
          <w:tcPr/>
          <w:p>
            <w:pPr>
              <w:pStyle w:val="Compact"/>
            </w:pPr>
            <w:r>
              <w:t xml:space="preserve">Abo-Kunden kumuliert</w:t>
            </w:r>
          </w:p>
        </w:tc>
        <w:tc>
          <w:tcPr/>
          <w:p>
            <w:pPr>
              <w:pStyle w:val="Compact"/>
            </w:pPr>
            <w:r>
              <w:t xml:space="preserve">Abo-MRR</w:t>
            </w:r>
          </w:p>
        </w:tc>
        <w:tc>
          <w:tcPr/>
          <w:p>
            <w:pPr>
              <w:pStyle w:val="Compact"/>
            </w:pPr>
            <w:r>
              <w:t xml:space="preserve">Hardware-Marge</w:t>
            </w:r>
          </w:p>
        </w:tc>
        <w:tc>
          <w:tcPr/>
          <w:p>
            <w:pPr>
              <w:pStyle w:val="Compact"/>
            </w:pPr>
            <w:r>
              <w:t xml:space="preserve">Setup</w:t>
            </w:r>
          </w:p>
        </w:tc>
        <w:tc>
          <w:tcPr/>
          <w:p>
            <w:pPr>
              <w:pStyle w:val="Compact"/>
            </w:pPr>
            <w:r>
              <w:t xml:space="preserve">Gesamt-Einnahmen</w:t>
            </w:r>
          </w:p>
        </w:tc>
        <w:tc>
          <w:tcPr/>
          <w:p>
            <w:pPr>
              <w:pStyle w:val="Compact"/>
            </w:pPr>
            <w:r>
              <w:t xml:space="preserve">Fixkosten</w:t>
            </w:r>
          </w:p>
        </w:tc>
        <w:tc>
          <w:tcPr/>
          <w:p>
            <w:pPr>
              <w:pStyle w:val="Compact"/>
            </w:pPr>
            <w:r>
              <w:t xml:space="preserve">Monatssaldo</w:t>
            </w:r>
          </w:p>
        </w:tc>
        <w:tc>
          <w:tcPr/>
          <w:p>
            <w:pPr>
              <w:pStyle w:val="Compact"/>
            </w:pPr>
            <w:r>
              <w:t xml:space="preserve">Kumuliert</w:t>
            </w:r>
          </w:p>
        </w:tc>
      </w:tr>
      <w:tr>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-€5.400</w:t>
            </w:r>
          </w:p>
        </w:tc>
        <w:tc>
          <w:tcPr/>
          <w:p>
            <w:pPr>
              <w:pStyle w:val="Compact"/>
            </w:pPr>
            <w:r>
              <w:t xml:space="preserve">-€5.400</w:t>
            </w:r>
          </w:p>
        </w:tc>
        <w:tc>
          <w:tcPr/>
          <w:p>
            <w:pPr>
              <w:pStyle w:val="Compact"/>
            </w:pPr>
            <w:r>
              <w:t xml:space="preserve">-€5.400</w:t>
            </w:r>
          </w:p>
        </w:tc>
      </w:tr>
      <w:tr>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-€5.400</w:t>
            </w:r>
          </w:p>
        </w:tc>
        <w:tc>
          <w:tcPr/>
          <w:p>
            <w:pPr>
              <w:pStyle w:val="Compact"/>
            </w:pPr>
            <w:r>
              <w:t xml:space="preserve">-€5.400</w:t>
            </w:r>
          </w:p>
        </w:tc>
        <w:tc>
          <w:tcPr/>
          <w:p>
            <w:pPr>
              <w:pStyle w:val="Compact"/>
            </w:pPr>
            <w:r>
              <w:t xml:space="preserve">-€10.800</w:t>
            </w:r>
          </w:p>
        </w:tc>
      </w:tr>
      <w:tr>
        <w:tc>
          <w:tcPr/>
          <w:p>
            <w:pPr>
              <w:pStyle w:val="Compact"/>
            </w:pPr>
            <w:r>
              <w:t xml:space="preserve">3</w:t>
            </w:r>
          </w:p>
        </w:tc>
        <w:tc>
          <w:tcPr/>
          <w:p>
            <w:pPr>
              <w:pStyle w:val="Compact"/>
            </w:pPr>
            <w:r>
              <w:t xml:space="preserve">1</w:t>
            </w:r>
          </w:p>
        </w:tc>
        <w:tc>
          <w:tcPr/>
          <w:p>
            <w:pPr>
              <w:pStyle w:val="Compact"/>
            </w:pPr>
            <w:r>
              <w:t xml:space="preserve">1</w:t>
            </w:r>
          </w:p>
        </w:tc>
        <w:tc>
          <w:tcPr/>
          <w:p>
            <w:pPr>
              <w:pStyle w:val="Compact"/>
            </w:pPr>
            <w:r>
              <w:t xml:space="preserve">€149</w:t>
            </w:r>
          </w:p>
        </w:tc>
        <w:tc>
          <w:tcPr/>
          <w:p>
            <w:pPr>
              <w:pStyle w:val="Compact"/>
            </w:pPr>
            <w:r>
              <w:t xml:space="preserve">€750</w:t>
            </w:r>
          </w:p>
        </w:tc>
        <w:tc>
          <w:tcPr/>
          <w:p>
            <w:pPr>
              <w:pStyle w:val="Compact"/>
            </w:pPr>
            <w:r>
              <w:t xml:space="preserve">€500</w:t>
            </w:r>
          </w:p>
        </w:tc>
        <w:tc>
          <w:tcPr/>
          <w:p>
            <w:pPr>
              <w:pStyle w:val="Compact"/>
            </w:pPr>
            <w:r>
              <w:t xml:space="preserve">€1.399</w:t>
            </w:r>
          </w:p>
        </w:tc>
        <w:tc>
          <w:tcPr/>
          <w:p>
            <w:pPr>
              <w:pStyle w:val="Compact"/>
            </w:pPr>
            <w:r>
              <w:t xml:space="preserve">-€5.400</w:t>
            </w:r>
          </w:p>
        </w:tc>
        <w:tc>
          <w:tcPr/>
          <w:p>
            <w:pPr>
              <w:pStyle w:val="Compact"/>
            </w:pPr>
            <w:r>
              <w:t xml:space="preserve">-€4.001</w:t>
            </w:r>
          </w:p>
        </w:tc>
        <w:tc>
          <w:tcPr/>
          <w:p>
            <w:pPr>
              <w:pStyle w:val="Compact"/>
            </w:pPr>
            <w:r>
              <w:t xml:space="preserve">-€14.801</w:t>
            </w:r>
          </w:p>
        </w:tc>
      </w:tr>
      <w:tr>
        <w:tc>
          <w:tcPr/>
          <w:p>
            <w:pPr>
              <w:pStyle w:val="Compact"/>
            </w:pPr>
            <w:r>
              <w:t xml:space="preserve">4</w:t>
            </w:r>
          </w:p>
        </w:tc>
        <w:tc>
          <w:tcPr/>
          <w:p>
            <w:pPr>
              <w:pStyle w:val="Compact"/>
            </w:pPr>
            <w:r>
              <w:t xml:space="preserve">1</w:t>
            </w:r>
          </w:p>
        </w:tc>
        <w:tc>
          <w:tcPr/>
          <w:p>
            <w:pPr>
              <w:pStyle w:val="Compact"/>
            </w:pPr>
            <w:r>
              <w:t xml:space="preserve">2</w:t>
            </w:r>
          </w:p>
        </w:tc>
        <w:tc>
          <w:tcPr/>
          <w:p>
            <w:pPr>
              <w:pStyle w:val="Compact"/>
            </w:pPr>
            <w:r>
              <w:t xml:space="preserve">€298</w:t>
            </w:r>
          </w:p>
        </w:tc>
        <w:tc>
          <w:tcPr/>
          <w:p>
            <w:pPr>
              <w:pStyle w:val="Compact"/>
            </w:pPr>
            <w:r>
              <w:t xml:space="preserve">€750</w:t>
            </w:r>
          </w:p>
        </w:tc>
        <w:tc>
          <w:tcPr/>
          <w:p>
            <w:pPr>
              <w:pStyle w:val="Compact"/>
            </w:pPr>
            <w:r>
              <w:t xml:space="preserve">€500</w:t>
            </w:r>
          </w:p>
        </w:tc>
        <w:tc>
          <w:tcPr/>
          <w:p>
            <w:pPr>
              <w:pStyle w:val="Compact"/>
            </w:pPr>
            <w:r>
              <w:t xml:space="preserve">€1.548</w:t>
            </w:r>
          </w:p>
        </w:tc>
        <w:tc>
          <w:tcPr/>
          <w:p>
            <w:pPr>
              <w:pStyle w:val="Compact"/>
            </w:pPr>
            <w:r>
              <w:t xml:space="preserve">-€5.400</w:t>
            </w:r>
          </w:p>
        </w:tc>
        <w:tc>
          <w:tcPr/>
          <w:p>
            <w:pPr>
              <w:pStyle w:val="Compact"/>
            </w:pPr>
            <w:r>
              <w:t xml:space="preserve">-€3.852</w:t>
            </w:r>
          </w:p>
        </w:tc>
        <w:tc>
          <w:tcPr/>
          <w:p>
            <w:pPr>
              <w:pStyle w:val="Compact"/>
            </w:pPr>
            <w:r>
              <w:t xml:space="preserve">-€18.653</w:t>
            </w:r>
          </w:p>
        </w:tc>
      </w:tr>
      <w:tr>
        <w:tc>
          <w:tcPr/>
          <w:p>
            <w:pPr>
              <w:pStyle w:val="Compact"/>
            </w:pPr>
            <w:r>
              <w:t xml:space="preserve">5</w:t>
            </w:r>
          </w:p>
        </w:tc>
        <w:tc>
          <w:tcPr/>
          <w:p>
            <w:pPr>
              <w:pStyle w:val="Compact"/>
            </w:pPr>
            <w:r>
              <w:t xml:space="preserve">1</w:t>
            </w:r>
          </w:p>
        </w:tc>
        <w:tc>
          <w:tcPr/>
          <w:p>
            <w:pPr>
              <w:pStyle w:val="Compact"/>
            </w:pPr>
            <w:r>
              <w:t xml:space="preserve">3</w:t>
            </w:r>
          </w:p>
        </w:tc>
        <w:tc>
          <w:tcPr/>
          <w:p>
            <w:pPr>
              <w:pStyle w:val="Compact"/>
            </w:pPr>
            <w:r>
              <w:t xml:space="preserve">€447</w:t>
            </w:r>
          </w:p>
        </w:tc>
        <w:tc>
          <w:tcPr/>
          <w:p>
            <w:pPr>
              <w:pStyle w:val="Compact"/>
            </w:pPr>
            <w:r>
              <w:t xml:space="preserve">€950</w:t>
            </w:r>
          </w:p>
        </w:tc>
        <w:tc>
          <w:tcPr/>
          <w:p>
            <w:pPr>
              <w:pStyle w:val="Compact"/>
            </w:pPr>
            <w:r>
              <w:t xml:space="preserve">€750</w:t>
            </w:r>
          </w:p>
        </w:tc>
        <w:tc>
          <w:tcPr/>
          <w:p>
            <w:pPr>
              <w:pStyle w:val="Compact"/>
            </w:pPr>
            <w:r>
              <w:t xml:space="preserve">€2.147</w:t>
            </w:r>
          </w:p>
        </w:tc>
        <w:tc>
          <w:tcPr/>
          <w:p>
            <w:pPr>
              <w:pStyle w:val="Compact"/>
            </w:pPr>
            <w:r>
              <w:t xml:space="preserve">-€5.400</w:t>
            </w:r>
          </w:p>
        </w:tc>
        <w:tc>
          <w:tcPr/>
          <w:p>
            <w:pPr>
              <w:pStyle w:val="Compact"/>
            </w:pPr>
            <w:r>
              <w:t xml:space="preserve">-€3.253</w:t>
            </w:r>
          </w:p>
        </w:tc>
        <w:tc>
          <w:tcPr/>
          <w:p>
            <w:pPr>
              <w:pStyle w:val="Compact"/>
            </w:pPr>
            <w:r>
              <w:t xml:space="preserve">-€21.906</w:t>
            </w:r>
          </w:p>
        </w:tc>
      </w:tr>
      <w:tr>
        <w:tc>
          <w:tcPr/>
          <w:p>
            <w:pPr>
              <w:pStyle w:val="Compact"/>
            </w:pPr>
            <w:r>
              <w:t xml:space="preserve">6</w:t>
            </w:r>
          </w:p>
        </w:tc>
        <w:tc>
          <w:tcPr/>
          <w:p>
            <w:pPr>
              <w:pStyle w:val="Compact"/>
            </w:pPr>
            <w:r>
              <w:t xml:space="preserve">1</w:t>
            </w:r>
          </w:p>
        </w:tc>
        <w:tc>
          <w:tcPr/>
          <w:p>
            <w:pPr>
              <w:pStyle w:val="Compact"/>
            </w:pPr>
            <w:r>
              <w:t xml:space="preserve">4</w:t>
            </w:r>
          </w:p>
        </w:tc>
        <w:tc>
          <w:tcPr/>
          <w:p>
            <w:pPr>
              <w:pStyle w:val="Compact"/>
            </w:pPr>
            <w:r>
              <w:t xml:space="preserve">€596</w:t>
            </w:r>
          </w:p>
        </w:tc>
        <w:tc>
          <w:tcPr/>
          <w:p>
            <w:pPr>
              <w:pStyle w:val="Compact"/>
            </w:pPr>
            <w:r>
              <w:t xml:space="preserve">€750</w:t>
            </w:r>
          </w:p>
        </w:tc>
        <w:tc>
          <w:tcPr/>
          <w:p>
            <w:pPr>
              <w:pStyle w:val="Compact"/>
            </w:pPr>
            <w:r>
              <w:t xml:space="preserve">€500</w:t>
            </w:r>
          </w:p>
        </w:tc>
        <w:tc>
          <w:tcPr/>
          <w:p>
            <w:pPr>
              <w:pStyle w:val="Compact"/>
            </w:pPr>
            <w:r>
              <w:t xml:space="preserve">€1.846</w:t>
            </w:r>
          </w:p>
        </w:tc>
        <w:tc>
          <w:tcPr/>
          <w:p>
            <w:pPr>
              <w:pStyle w:val="Compact"/>
            </w:pPr>
            <w:r>
              <w:t xml:space="preserve">-€5.400</w:t>
            </w:r>
          </w:p>
        </w:tc>
        <w:tc>
          <w:tcPr/>
          <w:p>
            <w:pPr>
              <w:pStyle w:val="Compact"/>
            </w:pPr>
            <w:r>
              <w:t xml:space="preserve">-€3.554</w:t>
            </w:r>
          </w:p>
        </w:tc>
        <w:tc>
          <w:tcPr/>
          <w:p>
            <w:pPr>
              <w:pStyle w:val="Compact"/>
            </w:pPr>
            <w:r>
              <w:t xml:space="preserve">-€25.460</w:t>
            </w:r>
          </w:p>
        </w:tc>
      </w:tr>
      <w:tr>
        <w:tc>
          <w:tcPr/>
          <w:p>
            <w:pPr>
              <w:pStyle w:val="Compact"/>
            </w:pPr>
            <w:r>
              <w:t xml:space="preserve">7</w:t>
            </w:r>
          </w:p>
        </w:tc>
        <w:tc>
          <w:tcPr/>
          <w:p>
            <w:pPr>
              <w:pStyle w:val="Compact"/>
            </w:pPr>
            <w:r>
              <w:t xml:space="preserve">1</w:t>
            </w:r>
          </w:p>
        </w:tc>
        <w:tc>
          <w:tcPr/>
          <w:p>
            <w:pPr>
              <w:pStyle w:val="Compact"/>
            </w:pPr>
            <w:r>
              <w:t xml:space="preserve">5</w:t>
            </w:r>
          </w:p>
        </w:tc>
        <w:tc>
          <w:tcPr/>
          <w:p>
            <w:pPr>
              <w:pStyle w:val="Compact"/>
            </w:pPr>
            <w:r>
              <w:t xml:space="preserve">€845</w:t>
            </w:r>
          </w:p>
        </w:tc>
        <w:tc>
          <w:tcPr/>
          <w:p>
            <w:pPr>
              <w:pStyle w:val="Compact"/>
            </w:pPr>
            <w:r>
              <w:t xml:space="preserve">€2.400</w:t>
            </w:r>
          </w:p>
        </w:tc>
        <w:tc>
          <w:tcPr/>
          <w:p>
            <w:pPr>
              <w:pStyle w:val="Compact"/>
            </w:pPr>
            <w:r>
              <w:t xml:space="preserve">€1.500</w:t>
            </w:r>
          </w:p>
        </w:tc>
        <w:tc>
          <w:tcPr/>
          <w:p>
            <w:pPr>
              <w:pStyle w:val="Compact"/>
            </w:pPr>
            <w:r>
              <w:t xml:space="preserve">€4.745</w:t>
            </w:r>
          </w:p>
        </w:tc>
        <w:tc>
          <w:tcPr/>
          <w:p>
            <w:pPr>
              <w:pStyle w:val="Compact"/>
            </w:pPr>
            <w:r>
              <w:t xml:space="preserve">-€5.400</w:t>
            </w:r>
          </w:p>
        </w:tc>
        <w:tc>
          <w:tcPr/>
          <w:p>
            <w:pPr>
              <w:pStyle w:val="Compact"/>
            </w:pPr>
            <w:r>
              <w:t xml:space="preserve">-€655</w:t>
            </w:r>
          </w:p>
        </w:tc>
        <w:tc>
          <w:tcPr/>
          <w:p>
            <w:pPr>
              <w:pStyle w:val="Compact"/>
            </w:pPr>
            <w:r>
              <w:t xml:space="preserve">-€26.115</w:t>
            </w:r>
          </w:p>
        </w:tc>
      </w:tr>
      <w:tr>
        <w:tc>
          <w:tcPr/>
          <w:p>
            <w:pPr>
              <w:pStyle w:val="Compact"/>
            </w:pPr>
            <w:r>
              <w:t xml:space="preserve">8</w:t>
            </w:r>
          </w:p>
        </w:tc>
        <w:tc>
          <w:tcPr/>
          <w:p>
            <w:pPr>
              <w:pStyle w:val="Compact"/>
            </w:pPr>
            <w:r>
              <w:t xml:space="preserve">1</w:t>
            </w:r>
          </w:p>
        </w:tc>
        <w:tc>
          <w:tcPr/>
          <w:p>
            <w:pPr>
              <w:pStyle w:val="Compact"/>
            </w:pPr>
            <w:r>
              <w:t xml:space="preserve">6</w:t>
            </w:r>
          </w:p>
        </w:tc>
        <w:tc>
          <w:tcPr/>
          <w:p>
            <w:pPr>
              <w:pStyle w:val="Compact"/>
            </w:pPr>
            <w:r>
              <w:t xml:space="preserve">€994</w:t>
            </w:r>
          </w:p>
        </w:tc>
        <w:tc>
          <w:tcPr/>
          <w:p>
            <w:pPr>
              <w:pStyle w:val="Compact"/>
            </w:pPr>
            <w:r>
              <w:t xml:space="preserve">€750</w:t>
            </w:r>
          </w:p>
        </w:tc>
        <w:tc>
          <w:tcPr/>
          <w:p>
            <w:pPr>
              <w:pStyle w:val="Compact"/>
            </w:pPr>
            <w:r>
              <w:t xml:space="preserve">€500</w:t>
            </w:r>
          </w:p>
        </w:tc>
        <w:tc>
          <w:tcPr/>
          <w:p>
            <w:pPr>
              <w:pStyle w:val="Compact"/>
            </w:pPr>
            <w:r>
              <w:t xml:space="preserve">€2.244</w:t>
            </w:r>
          </w:p>
        </w:tc>
        <w:tc>
          <w:tcPr/>
          <w:p>
            <w:pPr>
              <w:pStyle w:val="Compact"/>
            </w:pPr>
            <w:r>
              <w:t xml:space="preserve">-€5.400</w:t>
            </w:r>
          </w:p>
        </w:tc>
        <w:tc>
          <w:tcPr/>
          <w:p>
            <w:pPr>
              <w:pStyle w:val="Compact"/>
            </w:pPr>
            <w:r>
              <w:t xml:space="preserve">-€3.156</w:t>
            </w:r>
          </w:p>
        </w:tc>
        <w:tc>
          <w:tcPr/>
          <w:p>
            <w:pPr>
              <w:pStyle w:val="Compact"/>
            </w:pPr>
            <w:r>
              <w:t xml:space="preserve">-€29.271</w:t>
            </w:r>
          </w:p>
        </w:tc>
      </w:tr>
      <w:tr>
        <w:tc>
          <w:tcPr/>
          <w:p>
            <w:pPr>
              <w:pStyle w:val="Compact"/>
            </w:pPr>
            <w:r>
              <w:t xml:space="preserve">9</w:t>
            </w:r>
          </w:p>
        </w:tc>
        <w:tc>
          <w:tcPr/>
          <w:p>
            <w:pPr>
              <w:pStyle w:val="Compact"/>
            </w:pPr>
            <w:r>
              <w:t xml:space="preserve">1</w:t>
            </w:r>
          </w:p>
        </w:tc>
        <w:tc>
          <w:tcPr/>
          <w:p>
            <w:pPr>
              <w:pStyle w:val="Compact"/>
            </w:pPr>
            <w:r>
              <w:t xml:space="preserve">7</w:t>
            </w:r>
          </w:p>
        </w:tc>
        <w:tc>
          <w:tcPr/>
          <w:p>
            <w:pPr>
              <w:pStyle w:val="Compact"/>
            </w:pPr>
            <w:r>
              <w:t xml:space="preserve">€1.143</w:t>
            </w:r>
          </w:p>
        </w:tc>
        <w:tc>
          <w:tcPr/>
          <w:p>
            <w:pPr>
              <w:pStyle w:val="Compact"/>
            </w:pPr>
            <w:r>
              <w:t xml:space="preserve">€950</w:t>
            </w:r>
          </w:p>
        </w:tc>
        <w:tc>
          <w:tcPr/>
          <w:p>
            <w:pPr>
              <w:pStyle w:val="Compact"/>
            </w:pPr>
            <w:r>
              <w:t xml:space="preserve">€750</w:t>
            </w:r>
          </w:p>
        </w:tc>
        <w:tc>
          <w:tcPr/>
          <w:p>
            <w:pPr>
              <w:pStyle w:val="Compact"/>
            </w:pPr>
            <w:r>
              <w:t xml:space="preserve">€2.843</w:t>
            </w:r>
          </w:p>
        </w:tc>
        <w:tc>
          <w:tcPr/>
          <w:p>
            <w:pPr>
              <w:pStyle w:val="Compact"/>
            </w:pPr>
            <w:r>
              <w:t xml:space="preserve">-€5.400</w:t>
            </w:r>
          </w:p>
        </w:tc>
        <w:tc>
          <w:tcPr/>
          <w:p>
            <w:pPr>
              <w:pStyle w:val="Compact"/>
            </w:pPr>
            <w:r>
              <w:t xml:space="preserve">-€2.557</w:t>
            </w:r>
          </w:p>
        </w:tc>
        <w:tc>
          <w:tcPr/>
          <w:p>
            <w:pPr>
              <w:pStyle w:val="Compact"/>
            </w:pPr>
            <w:r>
              <w:t xml:space="preserve">-€31.828</w:t>
            </w:r>
          </w:p>
        </w:tc>
      </w:tr>
      <w:tr>
        <w:tc>
          <w:tcPr/>
          <w:p>
            <w:pPr>
              <w:pStyle w:val="Compact"/>
            </w:pPr>
            <w:r>
              <w:t xml:space="preserve">10</w:t>
            </w:r>
          </w:p>
        </w:tc>
        <w:tc>
          <w:tcPr/>
          <w:p>
            <w:pPr>
              <w:pStyle w:val="Compact"/>
            </w:pPr>
            <w:r>
              <w:t xml:space="preserve">1</w:t>
            </w:r>
          </w:p>
        </w:tc>
        <w:tc>
          <w:tcPr/>
          <w:p>
            <w:pPr>
              <w:pStyle w:val="Compact"/>
            </w:pPr>
            <w:r>
              <w:t xml:space="preserve">8</w:t>
            </w:r>
          </w:p>
        </w:tc>
        <w:tc>
          <w:tcPr/>
          <w:p>
            <w:pPr>
              <w:pStyle w:val="Compact"/>
            </w:pPr>
            <w:r>
              <w:t xml:space="preserve">€1.292</w:t>
            </w:r>
          </w:p>
        </w:tc>
        <w:tc>
          <w:tcPr/>
          <w:p>
            <w:pPr>
              <w:pStyle w:val="Compact"/>
            </w:pPr>
            <w:r>
              <w:t xml:space="preserve">€750</w:t>
            </w:r>
          </w:p>
        </w:tc>
        <w:tc>
          <w:tcPr/>
          <w:p>
            <w:pPr>
              <w:pStyle w:val="Compact"/>
            </w:pPr>
            <w:r>
              <w:t xml:space="preserve">€500</w:t>
            </w:r>
          </w:p>
        </w:tc>
        <w:tc>
          <w:tcPr/>
          <w:p>
            <w:pPr>
              <w:pStyle w:val="Compact"/>
            </w:pPr>
            <w:r>
              <w:t xml:space="preserve">€2.542</w:t>
            </w:r>
          </w:p>
        </w:tc>
        <w:tc>
          <w:tcPr/>
          <w:p>
            <w:pPr>
              <w:pStyle w:val="Compact"/>
            </w:pPr>
            <w:r>
              <w:t xml:space="preserve">-€5.400</w:t>
            </w:r>
          </w:p>
        </w:tc>
        <w:tc>
          <w:tcPr/>
          <w:p>
            <w:pPr>
              <w:pStyle w:val="Compact"/>
            </w:pPr>
            <w:r>
              <w:t xml:space="preserve">-€2.858</w:t>
            </w:r>
          </w:p>
        </w:tc>
        <w:tc>
          <w:tcPr/>
          <w:p>
            <w:pPr>
              <w:pStyle w:val="Compact"/>
            </w:pPr>
            <w:r>
              <w:t xml:space="preserve">-€34.686</w:t>
            </w:r>
          </w:p>
        </w:tc>
      </w:tr>
      <w:tr>
        <w:tc>
          <w:tcPr/>
          <w:p>
            <w:pPr>
              <w:pStyle w:val="Compact"/>
            </w:pPr>
            <w:r>
              <w:t xml:space="preserve">11</w:t>
            </w:r>
          </w:p>
        </w:tc>
        <w:tc>
          <w:tcPr/>
          <w:p>
            <w:pPr>
              <w:pStyle w:val="Compact"/>
            </w:pPr>
            <w:r>
              <w:t xml:space="preserve">1</w:t>
            </w:r>
          </w:p>
        </w:tc>
        <w:tc>
          <w:tcPr/>
          <w:p>
            <w:pPr>
              <w:pStyle w:val="Compact"/>
            </w:pPr>
            <w:r>
              <w:t xml:space="preserve">9</w:t>
            </w:r>
          </w:p>
        </w:tc>
        <w:tc>
          <w:tcPr/>
          <w:p>
            <w:pPr>
              <w:pStyle w:val="Compact"/>
            </w:pPr>
            <w:r>
              <w:t xml:space="preserve">€1.491</w:t>
            </w:r>
          </w:p>
        </w:tc>
        <w:tc>
          <w:tcPr/>
          <w:p>
            <w:pPr>
              <w:pStyle w:val="Compact"/>
            </w:pPr>
            <w:r>
              <w:t xml:space="preserve">€750</w:t>
            </w:r>
          </w:p>
        </w:tc>
        <w:tc>
          <w:tcPr/>
          <w:p>
            <w:pPr>
              <w:pStyle w:val="Compact"/>
            </w:pPr>
            <w:r>
              <w:t xml:space="preserve">€500</w:t>
            </w:r>
          </w:p>
        </w:tc>
        <w:tc>
          <w:tcPr/>
          <w:p>
            <w:pPr>
              <w:pStyle w:val="Compact"/>
            </w:pPr>
            <w:r>
              <w:t xml:space="preserve">€2.741</w:t>
            </w:r>
          </w:p>
        </w:tc>
        <w:tc>
          <w:tcPr/>
          <w:p>
            <w:pPr>
              <w:pStyle w:val="Compact"/>
            </w:pPr>
            <w:r>
              <w:t xml:space="preserve">-€5.400</w:t>
            </w:r>
          </w:p>
        </w:tc>
        <w:tc>
          <w:tcPr/>
          <w:p>
            <w:pPr>
              <w:pStyle w:val="Compact"/>
            </w:pPr>
            <w:r>
              <w:t xml:space="preserve">-€2.659</w:t>
            </w:r>
          </w:p>
        </w:tc>
        <w:tc>
          <w:tcPr/>
          <w:p>
            <w:pPr>
              <w:pStyle w:val="Compact"/>
            </w:pPr>
            <w:r>
              <w:t xml:space="preserve">-€37.345</w:t>
            </w:r>
          </w:p>
        </w:tc>
      </w:tr>
      <w:tr>
        <w:tc>
          <w:tcPr/>
          <w:p>
            <w:pPr>
              <w:pStyle w:val="Compact"/>
            </w:pPr>
            <w:r>
              <w:t xml:space="preserve">12</w:t>
            </w:r>
          </w:p>
        </w:tc>
        <w:tc>
          <w:tcPr/>
          <w:p>
            <w:pPr>
              <w:pStyle w:val="Compact"/>
            </w:pPr>
            <w:r>
              <w:t xml:space="preserve">1</w:t>
            </w:r>
          </w:p>
        </w:tc>
        <w:tc>
          <w:tcPr/>
          <w:p>
            <w:pPr>
              <w:pStyle w:val="Compact"/>
            </w:pPr>
            <w:r>
              <w:t xml:space="preserve">10</w:t>
            </w:r>
          </w:p>
        </w:tc>
        <w:tc>
          <w:tcPr/>
          <w:p>
            <w:pPr>
              <w:pStyle w:val="Compact"/>
            </w:pPr>
            <w:r>
              <w:t xml:space="preserve">€1.740</w:t>
            </w:r>
          </w:p>
        </w:tc>
        <w:tc>
          <w:tcPr/>
          <w:p>
            <w:pPr>
              <w:pStyle w:val="Compact"/>
            </w:pPr>
            <w:r>
              <w:t xml:space="preserve">€2.400</w:t>
            </w:r>
          </w:p>
        </w:tc>
        <w:tc>
          <w:tcPr/>
          <w:p>
            <w:pPr>
              <w:pStyle w:val="Compact"/>
            </w:pPr>
            <w:r>
              <w:t xml:space="preserve">€2.000</w:t>
            </w:r>
          </w:p>
        </w:tc>
        <w:tc>
          <w:tcPr/>
          <w:p>
            <w:pPr>
              <w:pStyle w:val="Compact"/>
            </w:pPr>
            <w:r>
              <w:t xml:space="preserve">€6.140</w:t>
            </w:r>
          </w:p>
        </w:tc>
        <w:tc>
          <w:tcPr/>
          <w:p>
            <w:pPr>
              <w:pStyle w:val="Compact"/>
            </w:pPr>
            <w:r>
              <w:t xml:space="preserve">-€5.400</w:t>
            </w:r>
          </w:p>
        </w:tc>
        <w:tc>
          <w:tcPr/>
          <w:p>
            <w:pPr>
              <w:pStyle w:val="Compact"/>
            </w:pPr>
            <w:r>
              <w:t xml:space="preserve">+€740</w:t>
            </w:r>
          </w:p>
        </w:tc>
        <w:tc>
          <w:tcPr/>
          <w:p>
            <w:pPr>
              <w:pStyle w:val="Compact"/>
            </w:pPr>
            <w:r>
              <w:t xml:space="preserve">-€36.605</w:t>
            </w:r>
          </w:p>
        </w:tc>
      </w:tr>
      <w:tr>
        <w:tc>
          <w:tcPr/>
          <w:p>
            <w:pPr>
              <w:pStyle w:val="Compact"/>
            </w:pPr>
            <w:r>
              <w:rPr>
                <w:b/>
                <w:bCs/>
              </w:rPr>
              <w:t xml:space="preserve">Gesamt Jahr 1</w:t>
            </w: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€8.995</w:t>
            </w:r>
          </w:p>
        </w:tc>
        <w:tc>
          <w:tcPr/>
          <w:p>
            <w:pPr>
              <w:pStyle w:val="Compact"/>
            </w:pPr>
            <w:r>
              <w:rPr>
                <w:b/>
                <w:bCs/>
              </w:rPr>
              <w:t xml:space="preserve">€11.200</w:t>
            </w:r>
          </w:p>
        </w:tc>
        <w:tc>
          <w:tcPr/>
          <w:p>
            <w:pPr>
              <w:pStyle w:val="Compact"/>
            </w:pPr>
            <w:r>
              <w:rPr>
                <w:b/>
                <w:bCs/>
              </w:rPr>
              <w:t xml:space="preserve">€8.000</w:t>
            </w:r>
          </w:p>
        </w:tc>
        <w:tc>
          <w:tcPr/>
          <w:p>
            <w:pPr>
              <w:pStyle w:val="Compact"/>
            </w:pPr>
            <w:r>
              <w:rPr>
                <w:b/>
                <w:bCs/>
              </w:rPr>
              <w:t xml:space="preserve">€28.195</w:t>
            </w:r>
          </w:p>
        </w:tc>
        <w:tc>
          <w:tcPr/>
          <w:p>
            <w:pPr>
              <w:pStyle w:val="Compact"/>
            </w:pPr>
            <w:r>
              <w:rPr>
                <w:b/>
                <w:bCs/>
              </w:rPr>
              <w:t xml:space="preserve">-€64.800</w:t>
            </w:r>
          </w:p>
        </w:tc>
        <w:tc>
          <w:tcPr/>
          <w:p>
            <w:pPr>
              <w:pStyle w:val="Compact"/>
            </w:pPr>
          </w:p>
        </w:tc>
        <w:tc>
          <w:tcPr/>
          <w:p>
            <w:pPr>
              <w:pStyle w:val="Compact"/>
            </w:pPr>
            <w:r>
              <w:rPr>
                <w:b/>
                <w:bCs/>
              </w:rPr>
              <w:t xml:space="preserve">-€36.605</w:t>
            </w:r>
          </w:p>
        </w:tc>
      </w:tr>
    </w:tbl>
    <w:p>
      <w:pPr>
        <w:pStyle w:val="BodyText"/>
      </w:pPr>
      <w:r>
        <w:rPr>
          <w:i/>
          <w:iCs/>
        </w:rPr>
        <w:t xml:space="preserve">Hinweis: Monat 7 und 12: Premium-Verkauf angenommen. Kumulierter Fehlbetrag ~€37k wird durch Gründungsmittel (Stammkapital + Gründungszuschuss) gedeckt.</w:t>
      </w:r>
    </w:p>
    <w:bookmarkEnd w:id="51"/>
    <w:bookmarkStart w:id="52" w:name="Xda0bcffa8f398ce17f2c2e5cd15a5e72185b6e3"/>
    <w:p>
      <w:pPr>
        <w:pStyle w:val="Heading3"/>
      </w:pPr>
      <w:r>
        <w:t xml:space="preserve">8.4 Monatliche Planung — Jahr 1 (Optimistisches Szenario)</w:t>
      </w:r>
    </w:p>
    <w:p>
      <w:pPr>
        <w:pStyle w:val="FirstParagraph"/>
      </w:pPr>
      <w:r>
        <w:t xml:space="preserve">Annahmen: 2–3 Neukunden/Monat ab Monat 4, größerer Anteil Professional/Premium.</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Monat</w:t>
            </w:r>
          </w:p>
        </w:tc>
        <w:tc>
          <w:tcPr/>
          <w:p>
            <w:pPr>
              <w:pStyle w:val="Compact"/>
            </w:pPr>
            <w:r>
              <w:t xml:space="preserve">Neue Kunden</w:t>
            </w:r>
          </w:p>
        </w:tc>
        <w:tc>
          <w:tcPr/>
          <w:p>
            <w:pPr>
              <w:pStyle w:val="Compact"/>
            </w:pPr>
            <w:r>
              <w:t xml:space="preserve">Abo-Kunden</w:t>
            </w:r>
          </w:p>
        </w:tc>
        <w:tc>
          <w:tcPr/>
          <w:p>
            <w:pPr>
              <w:pStyle w:val="Compact"/>
            </w:pPr>
            <w:r>
              <w:t xml:space="preserve">MRR</w:t>
            </w:r>
          </w:p>
        </w:tc>
        <w:tc>
          <w:tcPr/>
          <w:p>
            <w:pPr>
              <w:pStyle w:val="Compact"/>
            </w:pPr>
            <w:r>
              <w:t xml:space="preserve">HW-Marge</w:t>
            </w:r>
          </w:p>
        </w:tc>
        <w:tc>
          <w:tcPr/>
          <w:p>
            <w:pPr>
              <w:pStyle w:val="Compact"/>
            </w:pPr>
            <w:r>
              <w:t xml:space="preserve">Setup</w:t>
            </w:r>
          </w:p>
        </w:tc>
        <w:tc>
          <w:tcPr/>
          <w:p>
            <w:pPr>
              <w:pStyle w:val="Compact"/>
            </w:pPr>
            <w:r>
              <w:t xml:space="preserve">Einnahmen</w:t>
            </w:r>
          </w:p>
        </w:tc>
        <w:tc>
          <w:tcPr/>
          <w:p>
            <w:pPr>
              <w:pStyle w:val="Compact"/>
            </w:pPr>
            <w:r>
              <w:t xml:space="preserve">Saldo</w:t>
            </w:r>
          </w:p>
        </w:tc>
      </w:tr>
      <w:tr>
        <w:tc>
          <w:tcPr/>
          <w:p>
            <w:pPr>
              <w:pStyle w:val="Compact"/>
            </w:pPr>
            <w:r>
              <w:t xml:space="preserve">1–2</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-€10.800</w:t>
            </w:r>
          </w:p>
        </w:tc>
      </w:tr>
      <w:tr>
        <w:tc>
          <w:tcPr/>
          <w:p>
            <w:pPr>
              <w:pStyle w:val="Compact"/>
            </w:pPr>
            <w:r>
              <w:t xml:space="preserve">3</w:t>
            </w:r>
          </w:p>
        </w:tc>
        <w:tc>
          <w:tcPr/>
          <w:p>
            <w:pPr>
              <w:pStyle w:val="Compact"/>
            </w:pPr>
            <w:r>
              <w:t xml:space="preserve">2</w:t>
            </w:r>
          </w:p>
        </w:tc>
        <w:tc>
          <w:tcPr/>
          <w:p>
            <w:pPr>
              <w:pStyle w:val="Compact"/>
            </w:pPr>
            <w:r>
              <w:t xml:space="preserve">2</w:t>
            </w:r>
          </w:p>
        </w:tc>
        <w:tc>
          <w:tcPr/>
          <w:p>
            <w:pPr>
              <w:pStyle w:val="Compact"/>
            </w:pPr>
            <w:r>
              <w:t xml:space="preserve">€498</w:t>
            </w:r>
          </w:p>
        </w:tc>
        <w:tc>
          <w:tcPr/>
          <w:p>
            <w:pPr>
              <w:pStyle w:val="Compact"/>
            </w:pPr>
            <w:r>
              <w:t xml:space="preserve">€1.700</w:t>
            </w:r>
          </w:p>
        </w:tc>
        <w:tc>
          <w:tcPr/>
          <w:p>
            <w:pPr>
              <w:pStyle w:val="Compact"/>
            </w:pPr>
            <w:r>
              <w:t xml:space="preserve">€1.500</w:t>
            </w:r>
          </w:p>
        </w:tc>
        <w:tc>
          <w:tcPr/>
          <w:p>
            <w:pPr>
              <w:pStyle w:val="Compact"/>
            </w:pPr>
            <w:r>
              <w:t xml:space="preserve">€3.698</w:t>
            </w:r>
          </w:p>
        </w:tc>
        <w:tc>
          <w:tcPr/>
          <w:p>
            <w:pPr>
              <w:pStyle w:val="Compact"/>
            </w:pPr>
            <w:r>
              <w:t xml:space="preserve">-€1.702</w:t>
            </w:r>
          </w:p>
        </w:tc>
      </w:tr>
      <w:tr>
        <w:tc>
          <w:tcPr/>
          <w:p>
            <w:pPr>
              <w:pStyle w:val="Compact"/>
            </w:pPr>
            <w:r>
              <w:t xml:space="preserve">4</w:t>
            </w:r>
          </w:p>
        </w:tc>
        <w:tc>
          <w:tcPr/>
          <w:p>
            <w:pPr>
              <w:pStyle w:val="Compact"/>
            </w:pPr>
            <w:r>
              <w:t xml:space="preserve">2</w:t>
            </w:r>
          </w:p>
        </w:tc>
        <w:tc>
          <w:tcPr/>
          <w:p>
            <w:pPr>
              <w:pStyle w:val="Compact"/>
            </w:pPr>
            <w:r>
              <w:t xml:space="preserve">4</w:t>
            </w:r>
          </w:p>
        </w:tc>
        <w:tc>
          <w:tcPr/>
          <w:p>
            <w:pPr>
              <w:pStyle w:val="Compact"/>
            </w:pPr>
            <w:r>
              <w:t xml:space="preserve">€996</w:t>
            </w:r>
          </w:p>
        </w:tc>
        <w:tc>
          <w:tcPr/>
          <w:p>
            <w:pPr>
              <w:pStyle w:val="Compact"/>
            </w:pPr>
            <w:r>
              <w:t xml:space="preserve">€1.700</w:t>
            </w:r>
          </w:p>
        </w:tc>
        <w:tc>
          <w:tcPr/>
          <w:p>
            <w:pPr>
              <w:pStyle w:val="Compact"/>
            </w:pPr>
            <w:r>
              <w:t xml:space="preserve">€1.500</w:t>
            </w:r>
          </w:p>
        </w:tc>
        <w:tc>
          <w:tcPr/>
          <w:p>
            <w:pPr>
              <w:pStyle w:val="Compact"/>
            </w:pPr>
            <w:r>
              <w:t xml:space="preserve">€4.196</w:t>
            </w:r>
          </w:p>
        </w:tc>
        <w:tc>
          <w:tcPr/>
          <w:p>
            <w:pPr>
              <w:pStyle w:val="Compact"/>
            </w:pPr>
            <w:r>
              <w:t xml:space="preserve">-€1.204</w:t>
            </w:r>
          </w:p>
        </w:tc>
      </w:tr>
      <w:tr>
        <w:tc>
          <w:tcPr/>
          <w:p>
            <w:pPr>
              <w:pStyle w:val="Compact"/>
            </w:pPr>
            <w:r>
              <w:t xml:space="preserve">5</w:t>
            </w:r>
          </w:p>
        </w:tc>
        <w:tc>
          <w:tcPr/>
          <w:p>
            <w:pPr>
              <w:pStyle w:val="Compact"/>
            </w:pPr>
            <w:r>
              <w:t xml:space="preserve">3</w:t>
            </w:r>
          </w:p>
        </w:tc>
        <w:tc>
          <w:tcPr/>
          <w:p>
            <w:pPr>
              <w:pStyle w:val="Compact"/>
            </w:pPr>
            <w:r>
              <w:t xml:space="preserve">7</w:t>
            </w:r>
          </w:p>
        </w:tc>
        <w:tc>
          <w:tcPr/>
          <w:p>
            <w:pPr>
              <w:pStyle w:val="Compact"/>
            </w:pPr>
            <w:r>
              <w:t xml:space="preserve">€1.743</w:t>
            </w:r>
          </w:p>
        </w:tc>
        <w:tc>
          <w:tcPr/>
          <w:p>
            <w:pPr>
              <w:pStyle w:val="Compact"/>
            </w:pPr>
            <w:r>
              <w:t xml:space="preserve">€4.550</w:t>
            </w:r>
          </w:p>
        </w:tc>
        <w:tc>
          <w:tcPr/>
          <w:p>
            <w:pPr>
              <w:pStyle w:val="Compact"/>
            </w:pPr>
            <w:r>
              <w:t xml:space="preserve">€3.000</w:t>
            </w:r>
          </w:p>
        </w:tc>
        <w:tc>
          <w:tcPr/>
          <w:p>
            <w:pPr>
              <w:pStyle w:val="Compact"/>
            </w:pPr>
            <w:r>
              <w:t xml:space="preserve">€9.293</w:t>
            </w:r>
          </w:p>
        </w:tc>
        <w:tc>
          <w:tcPr/>
          <w:p>
            <w:pPr>
              <w:pStyle w:val="Compact"/>
            </w:pPr>
            <w:r>
              <w:t xml:space="preserve">+€3.893</w:t>
            </w:r>
          </w:p>
        </w:tc>
      </w:tr>
      <w:tr>
        <w:tc>
          <w:tcPr/>
          <w:p>
            <w:pPr>
              <w:pStyle w:val="Compact"/>
            </w:pPr>
            <w:r>
              <w:t xml:space="preserve">6–12</w:t>
            </w:r>
          </w:p>
        </w:tc>
        <w:tc>
          <w:tcPr/>
          <w:p>
            <w:pPr>
              <w:pStyle w:val="Compact"/>
            </w:pPr>
            <w:r>
              <w:t xml:space="preserve">~2,5/Mo</w:t>
            </w:r>
          </w:p>
        </w:tc>
        <w:tc>
          <w:tcPr/>
          <w:p>
            <w:pPr>
              <w:pStyle w:val="Compact"/>
            </w:pPr>
            <w:r>
              <w:t xml:space="preserve">25 Ende</w:t>
            </w:r>
          </w:p>
        </w:tc>
        <w:tc>
          <w:tcPr/>
          <w:p>
            <w:pPr>
              <w:pStyle w:val="Compact"/>
            </w:pPr>
            <w:r>
              <w:t xml:space="preserve">~€6.225</w:t>
            </w:r>
          </w:p>
        </w:tc>
        <w:tc>
          <w:tcPr/>
          <w:p>
            <w:pPr>
              <w:pStyle w:val="Compact"/>
            </w:pPr>
            <w:r>
              <w:t xml:space="preserve">~€2.500</w:t>
            </w:r>
          </w:p>
        </w:tc>
        <w:tc>
          <w:tcPr/>
          <w:p>
            <w:pPr>
              <w:pStyle w:val="Compact"/>
            </w:pPr>
            <w:r>
              <w:t xml:space="preserve">~€2.000</w:t>
            </w:r>
          </w:p>
        </w:tc>
        <w:tc>
          <w:tcPr/>
          <w:p>
            <w:pPr>
              <w:pStyle w:val="Compact"/>
            </w:pPr>
            <w:r>
              <w:t xml:space="preserve">~€10.725</w:t>
            </w:r>
          </w:p>
        </w:tc>
        <w:tc>
          <w:tcPr/>
          <w:p>
            <w:pPr>
              <w:pStyle w:val="Compact"/>
            </w:pPr>
            <w:r>
              <w:t xml:space="preserve">~+€5.325</w:t>
            </w:r>
          </w:p>
        </w:tc>
      </w:tr>
      <w:tr>
        <w:tc>
          <w:tcPr/>
          <w:p>
            <w:pPr>
              <w:pStyle w:val="Compact"/>
            </w:pPr>
            <w:r>
              <w:rPr>
                <w:b/>
                <w:bCs/>
              </w:rPr>
              <w:t xml:space="preserve">Gesamt Jahr 1</w:t>
            </w:r>
          </w:p>
        </w:tc>
        <w:tc>
          <w:tcPr/>
          <w:p>
            <w:pPr>
              <w:pStyle w:val="Compact"/>
            </w:pPr>
            <w:r>
              <w:rPr>
                <w:b/>
                <w:bCs/>
              </w:rPr>
              <w:t xml:space="preserve">~25</w:t>
            </w:r>
          </w:p>
        </w:tc>
        <w:tc>
          <w:tcPr/>
          <w:p>
            <w:pPr>
              <w:pStyle w:val="Compact"/>
            </w:pPr>
            <w:r>
              <w:rPr>
                <w:b/>
                <w:bCs/>
              </w:rPr>
              <w:t xml:space="preserve">25</w:t>
            </w:r>
          </w:p>
        </w:tc>
        <w:tc>
          <w:tcPr/>
          <w:p>
            <w:pPr>
              <w:pStyle w:val="Compact"/>
            </w:pPr>
            <w:r>
              <w:t xml:space="preserve">~</w:t>
            </w:r>
            <w:r>
              <w:rPr>
                <w:b/>
                <w:bCs/>
              </w:rPr>
              <w:t xml:space="preserve">€31.000</w:t>
            </w:r>
          </w:p>
        </w:tc>
        <w:tc>
          <w:tcPr/>
          <w:p>
            <w:pPr>
              <w:pStyle w:val="Compact"/>
            </w:pPr>
            <w:r>
              <w:rPr>
                <w:b/>
                <w:bCs/>
              </w:rPr>
              <w:t xml:space="preserve">~€23.200</w:t>
            </w:r>
          </w:p>
        </w:tc>
        <w:tc>
          <w:tcPr/>
          <w:p>
            <w:pPr>
              <w:pStyle w:val="Compact"/>
            </w:pPr>
            <w:r>
              <w:rPr>
                <w:b/>
                <w:bCs/>
              </w:rPr>
              <w:t xml:space="preserve">~€25.000</w:t>
            </w:r>
          </w:p>
        </w:tc>
        <w:tc>
          <w:tcPr/>
          <w:p>
            <w:pPr>
              <w:pStyle w:val="Compact"/>
            </w:pPr>
            <w:r>
              <w:rPr>
                <w:b/>
                <w:bCs/>
              </w:rPr>
              <w:t xml:space="preserve">~€79.200</w:t>
            </w:r>
          </w:p>
        </w:tc>
        <w:tc>
          <w:tcPr/>
          <w:p>
            <w:pPr>
              <w:pStyle w:val="Compact"/>
            </w:pPr>
            <w:r>
              <w:rPr>
                <w:b/>
                <w:bCs/>
              </w:rPr>
              <w:t xml:space="preserve">~+€14.400</w:t>
            </w:r>
          </w:p>
        </w:tc>
      </w:tr>
    </w:tbl>
    <w:bookmarkEnd w:id="52"/>
    <w:bookmarkStart w:id="53" w:name="Xbf144e28e294effecd94cd9cd7122983ab2a7ca"/>
    <w:p>
      <w:pPr>
        <w:pStyle w:val="Heading3"/>
      </w:pPr>
      <w:r>
        <w:t xml:space="preserve">8.5 Langfristige Umsatzentwicklung (3-Jahres-Planung)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Jahr 1 (konservativ)</w:t>
            </w:r>
          </w:p>
        </w:tc>
        <w:tc>
          <w:tcPr/>
          <w:p>
            <w:pPr>
              <w:pStyle w:val="Compact"/>
            </w:pPr>
            <w:r>
              <w:t xml:space="preserve">Jahr 1 (optimistisch)</w:t>
            </w:r>
          </w:p>
        </w:tc>
        <w:tc>
          <w:tcPr/>
          <w:p>
            <w:pPr>
              <w:pStyle w:val="Compact"/>
            </w:pPr>
            <w:r>
              <w:t xml:space="preserve">Jahr 2</w:t>
            </w:r>
          </w:p>
        </w:tc>
        <w:tc>
          <w:tcPr/>
          <w:p>
            <w:pPr>
              <w:pStyle w:val="Compact"/>
            </w:pPr>
            <w:r>
              <w:t xml:space="preserve">Jahr 3</w:t>
            </w:r>
          </w:p>
        </w:tc>
      </w:tr>
      <w:tr>
        <w:tc>
          <w:tcPr/>
          <w:p>
            <w:pPr>
              <w:pStyle w:val="Compact"/>
            </w:pPr>
            <w:r>
              <w:t xml:space="preserve">Kunden (kumuliert, Ende Periode)</w:t>
            </w:r>
          </w:p>
        </w:tc>
        <w:tc>
          <w:tcPr/>
          <w:p>
            <w:pPr>
              <w:pStyle w:val="Compact"/>
            </w:pPr>
            <w:r>
              <w:t xml:space="preserve">10</w:t>
            </w:r>
          </w:p>
        </w:tc>
        <w:tc>
          <w:tcPr/>
          <w:p>
            <w:pPr>
              <w:pStyle w:val="Compact"/>
            </w:pPr>
            <w:r>
              <w:t xml:space="preserve">25</w:t>
            </w:r>
          </w:p>
        </w:tc>
        <w:tc>
          <w:tcPr/>
          <w:p>
            <w:pPr>
              <w:pStyle w:val="Compact"/>
            </w:pPr>
            <w:r>
              <w:t xml:space="preserve">35–60</w:t>
            </w:r>
          </w:p>
        </w:tc>
        <w:tc>
          <w:tcPr/>
          <w:p>
            <w:pPr>
              <w:pStyle w:val="Compact"/>
            </w:pPr>
            <w:r>
              <w:t xml:space="preserve">70–120</w:t>
            </w:r>
          </w:p>
        </w:tc>
      </w:tr>
      <w:tr>
        <w:tc>
          <w:tcPr/>
          <w:p>
            <w:pPr>
              <w:pStyle w:val="Compact"/>
            </w:pPr>
            <w:r>
              <w:t xml:space="preserve">MRR (Ende Periode)</w:t>
            </w:r>
          </w:p>
        </w:tc>
        <w:tc>
          <w:tcPr/>
          <w:p>
            <w:pPr>
              <w:pStyle w:val="Compact"/>
            </w:pPr>
            <w:r>
              <w:t xml:space="preserve">€2.490</w:t>
            </w:r>
          </w:p>
        </w:tc>
        <w:tc>
          <w:tcPr/>
          <w:p>
            <w:pPr>
              <w:pStyle w:val="Compact"/>
            </w:pPr>
            <w:r>
              <w:t xml:space="preserve">€6.225</w:t>
            </w:r>
          </w:p>
        </w:tc>
        <w:tc>
          <w:tcPr/>
          <w:p>
            <w:pPr>
              <w:pStyle w:val="Compact"/>
            </w:pPr>
            <w:r>
              <w:t xml:space="preserve">€10.000–€20.000</w:t>
            </w:r>
          </w:p>
        </w:tc>
        <w:tc>
          <w:tcPr/>
          <w:p>
            <w:pPr>
              <w:pStyle w:val="Compact"/>
            </w:pPr>
            <w:r>
              <w:t xml:space="preserve">€25.000–€50.000</w:t>
            </w:r>
          </w:p>
        </w:tc>
      </w:tr>
      <w:tr>
        <w:tc>
          <w:tcPr/>
          <w:p>
            <w:pPr>
              <w:pStyle w:val="Compact"/>
            </w:pPr>
            <w:r>
              <w:t xml:space="preserve">ARR (Ende Periode)</w:t>
            </w:r>
          </w:p>
        </w:tc>
        <w:tc>
          <w:tcPr/>
          <w:p>
            <w:pPr>
              <w:pStyle w:val="Compact"/>
            </w:pPr>
            <w:r>
              <w:t xml:space="preserve">€29.880</w:t>
            </w:r>
          </w:p>
        </w:tc>
        <w:tc>
          <w:tcPr/>
          <w:p>
            <w:pPr>
              <w:pStyle w:val="Compact"/>
            </w:pPr>
            <w:r>
              <w:t xml:space="preserve">€74.700</w:t>
            </w:r>
          </w:p>
        </w:tc>
        <w:tc>
          <w:tcPr/>
          <w:p>
            <w:pPr>
              <w:pStyle w:val="Compact"/>
            </w:pPr>
            <w:r>
              <w:t xml:space="preserve">€120k–€240k</w:t>
            </w:r>
          </w:p>
        </w:tc>
        <w:tc>
          <w:tcPr/>
          <w:p>
            <w:pPr>
              <w:pStyle w:val="Compact"/>
            </w:pPr>
            <w:r>
              <w:t xml:space="preserve">€300k–€600k</w:t>
            </w:r>
          </w:p>
        </w:tc>
      </w:tr>
      <w:tr>
        <w:tc>
          <w:tcPr/>
          <w:p>
            <w:pPr>
              <w:pStyle w:val="Compact"/>
            </w:pPr>
            <w:r>
              <w:t xml:space="preserve">Hardware-Umsatz/Jahr</w:t>
            </w:r>
          </w:p>
        </w:tc>
        <w:tc>
          <w:tcPr/>
          <w:p>
            <w:pPr>
              <w:pStyle w:val="Compact"/>
            </w:pPr>
            <w:r>
              <w:t xml:space="preserve">€46.300</w:t>
            </w:r>
          </w:p>
        </w:tc>
        <w:tc>
          <w:tcPr/>
          <w:p>
            <w:pPr>
              <w:pStyle w:val="Compact"/>
            </w:pPr>
            <w:r>
              <w:t xml:space="preserve">€124.100</w:t>
            </w:r>
          </w:p>
        </w:tc>
        <w:tc>
          <w:tcPr/>
          <w:p>
            <w:pPr>
              <w:pStyle w:val="Compact"/>
            </w:pPr>
            <w:r>
              <w:t xml:space="preserve">€100k–€200k</w:t>
            </w:r>
          </w:p>
        </w:tc>
        <w:tc>
          <w:tcPr/>
          <w:p>
            <w:pPr>
              <w:pStyle w:val="Compact"/>
            </w:pPr>
            <w:r>
              <w:t xml:space="preserve">€200k–€400k</w:t>
            </w:r>
          </w:p>
        </w:tc>
      </w:tr>
      <w:tr>
        <w:tc>
          <w:tcPr/>
          <w:p>
            <w:pPr>
              <w:pStyle w:val="Compact"/>
            </w:pPr>
            <w:r>
              <w:t xml:space="preserve">Setup-Einnahmen/Jahr</w:t>
            </w:r>
          </w:p>
        </w:tc>
        <w:tc>
          <w:tcPr/>
          <w:p>
            <w:pPr>
              <w:pStyle w:val="Compact"/>
            </w:pPr>
            <w:r>
              <w:t xml:space="preserve">€8.000</w:t>
            </w:r>
          </w:p>
        </w:tc>
        <w:tc>
          <w:tcPr/>
          <w:p>
            <w:pPr>
              <w:pStyle w:val="Compact"/>
            </w:pPr>
            <w:r>
              <w:t xml:space="preserve">€25.000</w:t>
            </w:r>
          </w:p>
        </w:tc>
        <w:tc>
          <w:tcPr/>
          <w:p>
            <w:pPr>
              <w:pStyle w:val="Compact"/>
            </w:pPr>
            <w:r>
              <w:t xml:space="preserve">€20k–€50k</w:t>
            </w:r>
          </w:p>
        </w:tc>
        <w:tc>
          <w:tcPr/>
          <w:p>
            <w:pPr>
              <w:pStyle w:val="Compact"/>
            </w:pPr>
            <w:r>
              <w:t xml:space="preserve">€50k–€100k</w:t>
            </w:r>
          </w:p>
        </w:tc>
      </w:tr>
      <w:tr>
        <w:tc>
          <w:tcPr/>
          <w:p>
            <w:pPr>
              <w:pStyle w:val="Compact"/>
            </w:pPr>
            <w:r>
              <w:rPr>
                <w:b/>
                <w:bCs/>
              </w:rPr>
              <w:t xml:space="preserve">Gesamt-Jahresumsatz (Marge+Abo+Setup)</w:t>
            </w:r>
          </w:p>
        </w:tc>
        <w:tc>
          <w:tcPr/>
          <w:p>
            <w:pPr>
              <w:pStyle w:val="Compact"/>
            </w:pPr>
            <w:r>
              <w:rPr>
                <w:b/>
                <w:bCs/>
              </w:rPr>
              <w:t xml:space="preserve">~€34.000</w:t>
            </w:r>
          </w:p>
        </w:tc>
        <w:tc>
          <w:tcPr/>
          <w:p>
            <w:pPr>
              <w:pStyle w:val="Compact"/>
            </w:pPr>
            <w:r>
              <w:rPr>
                <w:b/>
                <w:bCs/>
              </w:rPr>
              <w:t xml:space="preserve">~€110.000</w:t>
            </w:r>
          </w:p>
        </w:tc>
        <w:tc>
          <w:tcPr/>
          <w:p>
            <w:pPr>
              <w:pStyle w:val="Compact"/>
            </w:pPr>
            <w:r>
              <w:rPr>
                <w:b/>
                <w:bCs/>
              </w:rPr>
              <w:t xml:space="preserve">€150k–€350k</w:t>
            </w:r>
          </w:p>
        </w:tc>
        <w:tc>
          <w:tcPr/>
          <w:p>
            <w:pPr>
              <w:pStyle w:val="Compact"/>
            </w:pPr>
            <w:r>
              <w:rPr>
                <w:b/>
                <w:bCs/>
              </w:rPr>
              <w:t xml:space="preserve">€400k–€750k</w:t>
            </w:r>
          </w:p>
        </w:tc>
      </w:tr>
      <w:tr>
        <w:tc>
          <w:tcPr/>
          <w:p>
            <w:pPr>
              <w:pStyle w:val="Compact"/>
            </w:pPr>
            <w:r>
              <w:rPr>
                <w:b/>
                <w:bCs/>
              </w:rPr>
              <w:t xml:space="preserve">Ergebnis (vor Steuern)</w:t>
            </w:r>
          </w:p>
        </w:tc>
        <w:tc>
          <w:tcPr/>
          <w:p>
            <w:pPr>
              <w:pStyle w:val="Compact"/>
            </w:pPr>
            <w:r>
              <w:rPr>
                <w:b/>
                <w:bCs/>
              </w:rPr>
              <w:t xml:space="preserve">-€30k</w:t>
            </w:r>
          </w:p>
        </w:tc>
        <w:tc>
          <w:tcPr/>
          <w:p>
            <w:pPr>
              <w:pStyle w:val="Compact"/>
            </w:pPr>
            <w:r>
              <w:rPr>
                <w:b/>
                <w:bCs/>
              </w:rPr>
              <w:t xml:space="preserve">+€45k</w:t>
            </w:r>
          </w:p>
        </w:tc>
        <w:tc>
          <w:tcPr/>
          <w:p>
            <w:pPr>
              <w:pStyle w:val="Compact"/>
            </w:pPr>
            <w:r>
              <w:rPr>
                <w:b/>
                <w:bCs/>
              </w:rPr>
              <w:t xml:space="preserve">+€50k–€150k</w:t>
            </w:r>
          </w:p>
        </w:tc>
        <w:tc>
          <w:tcPr/>
          <w:p>
            <w:pPr>
              <w:pStyle w:val="Compact"/>
            </w:pPr>
            <w:r>
              <w:rPr>
                <w:b/>
                <w:bCs/>
              </w:rPr>
              <w:t xml:space="preserve">+€200k–€400k</w:t>
            </w:r>
          </w:p>
        </w:tc>
      </w:tr>
    </w:tbl>
    <w:p>
      <w:pPr>
        <w:pStyle w:val="BodyText"/>
      </w:pPr>
      <w:r>
        <w:rPr>
          <w:b/>
          <w:bCs/>
        </w:rPr>
        <w:t xml:space="preserve">Break-even-Analyse:</w:t>
      </w:r>
      <w:r>
        <w:t xml:space="preserve"> </w:t>
      </w:r>
      <w:r>
        <w:t xml:space="preserve">- Break-even operativ (MRR deckt Fixkosten): ~15 Kunden im Professional-Tier, oder ~35 Kunden im Starter-Tier</w:t>
      </w:r>
      <w:r>
        <w:t xml:space="preserve"> </w:t>
      </w:r>
      <w:r>
        <w:t xml:space="preserve">- Break-even kumuliert (Verluste aus Jahr 1 ausgeglichen): realistisch im Laufe von Jahr 2</w:t>
      </w:r>
    </w:p>
    <w:bookmarkEnd w:id="53"/>
    <w:bookmarkStart w:id="54" w:name="kapitalbedarfsübersicht"/>
    <w:p>
      <w:pPr>
        <w:pStyle w:val="Heading3"/>
      </w:pPr>
      <w:r>
        <w:t xml:space="preserve">8.6 Kapitalbedarfsübersicht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Finanzierungsquelle</w:t>
            </w:r>
          </w:p>
        </w:tc>
        <w:tc>
          <w:tcPr/>
          <w:p>
            <w:pPr>
              <w:pStyle w:val="Compact"/>
            </w:pPr>
            <w:r>
              <w:t xml:space="preserve">Betrag (ca.)</w:t>
            </w:r>
          </w:p>
        </w:tc>
        <w:tc>
          <w:tcPr/>
          <w:p>
            <w:pPr>
              <w:pStyle w:val="Compact"/>
            </w:pPr>
            <w:r>
              <w:t xml:space="preserve">Verfügbarkeit</w:t>
            </w:r>
          </w:p>
        </w:tc>
      </w:tr>
      <w:tr>
        <w:tc>
          <w:tcPr/>
          <w:p>
            <w:pPr>
              <w:pStyle w:val="Compact"/>
            </w:pPr>
            <w:r>
              <w:t xml:space="preserve">Eigenkapital (Stammkapital GmbH)</w:t>
            </w:r>
          </w:p>
        </w:tc>
        <w:tc>
          <w:tcPr/>
          <w:p>
            <w:pPr>
              <w:pStyle w:val="Compact"/>
            </w:pPr>
            <w:r>
              <w:t xml:space="preserve">€25.000</w:t>
            </w:r>
          </w:p>
        </w:tc>
        <w:tc>
          <w:tcPr/>
          <w:p>
            <w:pPr>
              <w:pStyle w:val="Compact"/>
            </w:pPr>
            <w:r>
              <w:t xml:space="preserve">Bei Gründung</w:t>
            </w:r>
          </w:p>
        </w:tc>
      </w:tr>
      <w:tr>
        <w:tc>
          <w:tcPr/>
          <w:p>
            <w:pPr>
              <w:pStyle w:val="Compact"/>
            </w:pPr>
            <w:r>
              <w:t xml:space="preserve">Gründungszuschuss Agentur für Arbeit (15 Mo.)</w:t>
            </w:r>
          </w:p>
        </w:tc>
        <w:tc>
          <w:tcPr/>
          <w:p>
            <w:pPr>
              <w:pStyle w:val="Compact"/>
            </w:pPr>
            <w:r>
              <w:t xml:space="preserve">~€15.000–€20.000</w:t>
            </w:r>
          </w:p>
        </w:tc>
        <w:tc>
          <w:tcPr/>
          <w:p>
            <w:pPr>
              <w:pStyle w:val="Compact"/>
            </w:pPr>
            <w:r>
              <w:t xml:space="preserve">Bewilligung vor Gründung</w:t>
            </w:r>
          </w:p>
        </w:tc>
      </w:tr>
      <w:tr>
        <w:tc>
          <w:tcPr/>
          <w:p>
            <w:pPr>
              <w:pStyle w:val="Compact"/>
            </w:pPr>
            <w:r>
              <w:t xml:space="preserve">InnoStartBonus Sachsen</w:t>
            </w:r>
          </w:p>
        </w:tc>
        <w:tc>
          <w:tcPr/>
          <w:p>
            <w:pPr>
              <w:pStyle w:val="Compact"/>
            </w:pPr>
            <w:r>
              <w:t xml:space="preserve">~€12.600</w:t>
            </w:r>
          </w:p>
        </w:tc>
        <w:tc>
          <w:tcPr/>
          <w:p>
            <w:pPr>
              <w:pStyle w:val="Compact"/>
            </w:pPr>
            <w:r>
              <w:t xml:space="preserve">Bei Bewilligung</w:t>
            </w:r>
          </w:p>
        </w:tc>
      </w:tr>
      <w:tr>
        <w:tc>
          <w:tcPr/>
          <w:p>
            <w:pPr>
              <w:pStyle w:val="Compact"/>
            </w:pPr>
            <w:r>
              <w:t xml:space="preserve">SAB Mikrodarlehen</w:t>
            </w:r>
          </w:p>
        </w:tc>
        <w:tc>
          <w:tcPr/>
          <w:p>
            <w:pPr>
              <w:pStyle w:val="Compact"/>
            </w:pPr>
            <w:r>
              <w:t xml:space="preserve">bis €20.000</w:t>
            </w:r>
          </w:p>
        </w:tc>
        <w:tc>
          <w:tcPr/>
          <w:p>
            <w:pPr>
              <w:pStyle w:val="Compact"/>
            </w:pPr>
            <w:r>
              <w:t xml:space="preserve">3 Monate nach Gründung</w:t>
            </w:r>
          </w:p>
        </w:tc>
      </w:tr>
      <w:tr>
        <w:tc>
          <w:tcPr/>
          <w:p>
            <w:pPr>
              <w:pStyle w:val="Compact"/>
            </w:pPr>
            <w:r>
              <w:rPr>
                <w:b/>
                <w:bCs/>
              </w:rPr>
              <w:t xml:space="preserve">Gesamt verfügbare Mittel (konservativ)</w:t>
            </w:r>
          </w:p>
        </w:tc>
        <w:tc>
          <w:tcPr/>
          <w:p>
            <w:pPr>
              <w:pStyle w:val="Compact"/>
            </w:pPr>
            <w:r>
              <w:rPr>
                <w:b/>
                <w:bCs/>
              </w:rPr>
              <w:t xml:space="preserve">~€52.600–€77.600</w:t>
            </w:r>
          </w:p>
        </w:tc>
        <w:tc>
          <w:tcPr/>
          <w:p>
            <w:pPr>
              <w:pStyle w:val="Compact"/>
            </w:pPr>
          </w:p>
        </w:tc>
      </w:tr>
      <w:tr>
        <w:tc>
          <w:tcPr/>
          <w:p>
            <w:pPr>
              <w:pStyle w:val="Compact"/>
            </w:pPr>
            <w:r>
              <w:rPr>
                <w:b/>
                <w:bCs/>
              </w:rPr>
              <w:t xml:space="preserve">Kapitalbedarf Jahr 1 (konservatives Szenario)</w:t>
            </w:r>
          </w:p>
        </w:tc>
        <w:tc>
          <w:tcPr/>
          <w:p>
            <w:pPr>
              <w:pStyle w:val="Compact"/>
            </w:pPr>
            <w:r>
              <w:rPr>
                <w:b/>
                <w:bCs/>
              </w:rPr>
              <w:t xml:space="preserve">~€75.000–€85.000</w:t>
            </w:r>
          </w:p>
        </w:tc>
        <w:tc>
          <w:tcPr/>
          <w:p>
            <w:pPr>
              <w:pStyle w:val="Compact"/>
            </w:pPr>
            <w:r>
              <w:t xml:space="preserve">Gründungskosten + Verlust</w:t>
            </w:r>
          </w:p>
        </w:tc>
      </w:tr>
      <w:tr>
        <w:tc>
          <w:tcPr/>
          <w:p>
            <w:pPr>
              <w:pStyle w:val="Compact"/>
            </w:pPr>
            <w:r>
              <w:rPr>
                <w:b/>
                <w:bCs/>
              </w:rPr>
              <w:t xml:space="preserve">Lücke / Puffer</w:t>
            </w:r>
          </w:p>
        </w:tc>
        <w:tc>
          <w:tcPr/>
          <w:p>
            <w:pPr>
              <w:pStyle w:val="Compact"/>
            </w:pPr>
            <w:r>
              <w:rPr>
                <w:b/>
                <w:bCs/>
              </w:rPr>
              <w:t xml:space="preserve">negativ bis ~€7.000</w:t>
            </w:r>
          </w:p>
        </w:tc>
        <w:tc>
          <w:tcPr/>
          <w:p>
            <w:pPr>
              <w:pStyle w:val="Compact"/>
            </w:pPr>
            <w:r>
              <w:t xml:space="preserve">Zeigt Relevanz der Fördermittelkette</w:t>
            </w:r>
          </w:p>
        </w:tc>
      </w:tr>
    </w:tbl>
    <w:p>
      <w:pPr>
        <w:pStyle w:val="BodyText"/>
      </w:pPr>
      <w:r>
        <w:rPr>
          <w:i/>
          <w:iCs/>
        </w:rPr>
        <w:t xml:space="preserve">Maßnahme bei Lücke: KfW ERP-Gründerkredit StartGeld (bis €125.000, vergünstigter Zinssatz) oder SAB Sachsenkredit als ergänzende Finanzierungsquelle.</w:t>
      </w:r>
    </w:p>
    <w:p>
      <w:r>
        <w:pict>
          <v:rect style="width:0;height:1.5pt" o:hralign="center" o:hrstd="t" o:hr="t"/>
        </w:pict>
      </w:r>
    </w:p>
    <w:bookmarkEnd w:id="54"/>
    <w:bookmarkEnd w:id="55"/>
    <w:bookmarkStart w:id="58" w:name="risikoanalyse"/>
    <w:p>
      <w:pPr>
        <w:pStyle w:val="Heading2"/>
      </w:pPr>
      <w:r>
        <w:t xml:space="preserve">9. Risikoanalyse</w:t>
      </w:r>
    </w:p>
    <w:bookmarkStart w:id="56" w:name="risikomatrix"/>
    <w:p>
      <w:pPr>
        <w:pStyle w:val="Heading3"/>
      </w:pPr>
      <w:r>
        <w:t xml:space="preserve">9.1 Risikomatrix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Risiko</w:t>
            </w:r>
          </w:p>
        </w:tc>
        <w:tc>
          <w:tcPr/>
          <w:p>
            <w:pPr>
              <w:pStyle w:val="Compact"/>
            </w:pPr>
            <w:r>
              <w:t xml:space="preserve">W’keit</w:t>
            </w:r>
          </w:p>
        </w:tc>
        <w:tc>
          <w:tcPr/>
          <w:p>
            <w:pPr>
              <w:pStyle w:val="Compact"/>
            </w:pPr>
            <w:r>
              <w:t xml:space="preserve">Auswirkung</w:t>
            </w:r>
          </w:p>
        </w:tc>
        <w:tc>
          <w:tcPr/>
          <w:p>
            <w:pPr>
              <w:pStyle w:val="Compact"/>
            </w:pPr>
            <w:r>
              <w:t xml:space="preserve">Risiko-Score</w:t>
            </w:r>
          </w:p>
        </w:tc>
        <w:tc>
          <w:tcPr/>
          <w:p>
            <w:pPr>
              <w:pStyle w:val="Compact"/>
            </w:pPr>
            <w:r>
              <w:t xml:space="preserve">Gegenmaßnahme</w:t>
            </w:r>
          </w:p>
        </w:tc>
      </w:tr>
      <w:tr>
        <w:tc>
          <w:tcPr/>
          <w:p>
            <w:pPr>
              <w:pStyle w:val="Compact"/>
            </w:pPr>
            <w:r>
              <w:rPr>
                <w:b/>
                <w:bCs/>
              </w:rPr>
              <w:t xml:space="preserve">Langsame Kundenakquise</w:t>
            </w:r>
          </w:p>
        </w:tc>
        <w:tc>
          <w:tcPr/>
          <w:p>
            <w:pPr>
              <w:pStyle w:val="Compact"/>
            </w:pPr>
            <w:r>
              <w:t xml:space="preserve">Hoch</w:t>
            </w:r>
          </w:p>
        </w:tc>
        <w:tc>
          <w:tcPr/>
          <w:p>
            <w:pPr>
              <w:pStyle w:val="Compact"/>
            </w:pPr>
            <w:r>
              <w:t xml:space="preserve">Hoch</w:t>
            </w:r>
          </w:p>
        </w:tc>
        <w:tc>
          <w:tcPr/>
          <w:p>
            <w:pPr>
              <w:pStyle w:val="Compact"/>
            </w:pPr>
            <w:r>
              <w:t xml:space="preserve">🔴 Kritisch</w:t>
            </w:r>
          </w:p>
        </w:tc>
        <w:tc>
          <w:tcPr/>
          <w:p>
            <w:pPr>
              <w:pStyle w:val="Compact"/>
            </w:pPr>
            <w:r>
              <w:t xml:space="preserve">Niedrige Fixkosten halten, Pilotkunden früh; Fördermittel sichern als Puffer</w:t>
            </w:r>
          </w:p>
        </w:tc>
      </w:tr>
      <w:tr>
        <w:tc>
          <w:tcPr/>
          <w:p>
            <w:pPr>
              <w:pStyle w:val="Compact"/>
            </w:pPr>
            <w:r>
              <w:rPr>
                <w:b/>
                <w:bCs/>
              </w:rPr>
              <w:t xml:space="preserve">LPDDR5X-Preise steigen weiter</w:t>
            </w:r>
          </w:p>
        </w:tc>
        <w:tc>
          <w:tcPr/>
          <w:p>
            <w:pPr>
              <w:pStyle w:val="Compact"/>
            </w:pPr>
            <w:r>
              <w:t xml:space="preserve">Hoch</w:t>
            </w:r>
          </w:p>
        </w:tc>
        <w:tc>
          <w:tcPr/>
          <w:p>
            <w:pPr>
              <w:pStyle w:val="Compact"/>
            </w:pPr>
            <w:r>
              <w:t xml:space="preserve">Mittel</w:t>
            </w:r>
          </w:p>
        </w:tc>
        <w:tc>
          <w:tcPr/>
          <w:p>
            <w:pPr>
              <w:pStyle w:val="Compact"/>
            </w:pPr>
            <w:r>
              <w:t xml:space="preserve">🟠 Erheblich</w:t>
            </w:r>
          </w:p>
        </w:tc>
        <w:tc>
          <w:tcPr/>
          <w:p>
            <w:pPr>
              <w:pStyle w:val="Compact"/>
            </w:pPr>
            <w:r>
              <w:t xml:space="preserve">Bundle-Modell puffert; mehrere OEM-Quellen; Preisgleitklausel in AGB</w:t>
            </w:r>
          </w:p>
        </w:tc>
      </w:tr>
      <w:tr>
        <w:tc>
          <w:tcPr/>
          <w:p>
            <w:pPr>
              <w:pStyle w:val="Compact"/>
            </w:pPr>
            <w:r>
              <w:rPr>
                <w:b/>
                <w:bCs/>
              </w:rPr>
              <w:t xml:space="preserve">Abhängigkeit NVIDIA/ASUS</w:t>
            </w:r>
          </w:p>
        </w:tc>
        <w:tc>
          <w:tcPr/>
          <w:p>
            <w:pPr>
              <w:pStyle w:val="Compact"/>
            </w:pPr>
            <w:r>
              <w:t xml:space="preserve">Hoch</w:t>
            </w:r>
          </w:p>
        </w:tc>
        <w:tc>
          <w:tcPr/>
          <w:p>
            <w:pPr>
              <w:pStyle w:val="Compact"/>
            </w:pPr>
            <w:r>
              <w:t xml:space="preserve">Mittel</w:t>
            </w:r>
          </w:p>
        </w:tc>
        <w:tc>
          <w:tcPr/>
          <w:p>
            <w:pPr>
              <w:pStyle w:val="Compact"/>
            </w:pPr>
            <w:r>
              <w:t xml:space="preserve">🟠 Erheblich</w:t>
            </w:r>
          </w:p>
        </w:tc>
        <w:tc>
          <w:tcPr/>
          <w:p>
            <w:pPr>
              <w:pStyle w:val="Compact"/>
            </w:pPr>
            <w:r>
              <w:t xml:space="preserve">Dell/Lenovo/HP als Backup-Lieferanten qualifiziert; Service-Wert ist hardware-agnostisch</w:t>
            </w:r>
          </w:p>
        </w:tc>
      </w:tr>
      <w:tr>
        <w:tc>
          <w:tcPr/>
          <w:p>
            <w:pPr>
              <w:pStyle w:val="Compact"/>
            </w:pPr>
            <w:r>
              <w:rPr>
                <w:b/>
                <w:bCs/>
              </w:rPr>
              <w:t xml:space="preserve">Cloud-KI wird</w:t>
            </w:r>
            <w:r>
              <w:rPr>
                <w:b/>
                <w:bCs/>
              </w:rPr>
              <w:t xml:space="preserve"> </w:t>
            </w:r>
            <w:r>
              <w:rPr>
                <w:b/>
                <w:bCs/>
              </w:rPr>
              <w:t xml:space="preserve">“sicher genug”</w:t>
            </w:r>
          </w:p>
        </w:tc>
        <w:tc>
          <w:tcPr/>
          <w:p>
            <w:pPr>
              <w:pStyle w:val="Compact"/>
            </w:pPr>
            <w:r>
              <w:t xml:space="preserve">Mittel</w:t>
            </w:r>
          </w:p>
        </w:tc>
        <w:tc>
          <w:tcPr/>
          <w:p>
            <w:pPr>
              <w:pStyle w:val="Compact"/>
            </w:pPr>
            <w:r>
              <w:t xml:space="preserve">Mittel</w:t>
            </w:r>
          </w:p>
        </w:tc>
        <w:tc>
          <w:tcPr/>
          <w:p>
            <w:pPr>
              <w:pStyle w:val="Compact"/>
            </w:pPr>
            <w:r>
              <w:t xml:space="preserve">🟡 Moderat</w:t>
            </w:r>
          </w:p>
        </w:tc>
        <w:tc>
          <w:tcPr/>
          <w:p>
            <w:pPr>
              <w:pStyle w:val="Compact"/>
            </w:pPr>
            <w:r>
              <w:t xml:space="preserve">Regulierte Branchen bleiben; DSGVO bleibt; Positionierung auf Compliance stärken</w:t>
            </w:r>
          </w:p>
        </w:tc>
      </w:tr>
      <w:tr>
        <w:tc>
          <w:tcPr/>
          <w:p>
            <w:pPr>
              <w:pStyle w:val="Compact"/>
            </w:pPr>
            <w:r>
              <w:rPr>
                <w:b/>
                <w:bCs/>
              </w:rPr>
              <w:t xml:space="preserve">Große Systemhäuser kopieren</w:t>
            </w:r>
          </w:p>
        </w:tc>
        <w:tc>
          <w:tcPr/>
          <w:p>
            <w:pPr>
              <w:pStyle w:val="Compact"/>
            </w:pPr>
            <w:r>
              <w:t xml:space="preserve">Mittel</w:t>
            </w:r>
          </w:p>
        </w:tc>
        <w:tc>
          <w:tcPr/>
          <w:p>
            <w:pPr>
              <w:pStyle w:val="Compact"/>
            </w:pPr>
            <w:r>
              <w:t xml:space="preserve">Hoch</w:t>
            </w:r>
          </w:p>
        </w:tc>
        <w:tc>
          <w:tcPr/>
          <w:p>
            <w:pPr>
              <w:pStyle w:val="Compact"/>
            </w:pPr>
            <w:r>
              <w:t xml:space="preserve">🟠 Erheblich</w:t>
            </w:r>
          </w:p>
        </w:tc>
        <w:tc>
          <w:tcPr/>
          <w:p>
            <w:pPr>
              <w:pStyle w:val="Compact"/>
            </w:pPr>
            <w:r>
              <w:t xml:space="preserve">First-Mover-Vorteil nutzen; Nische durch Spezialisierung verteidigen; Referenzen aufbauen</w:t>
            </w:r>
          </w:p>
        </w:tc>
      </w:tr>
      <w:tr>
        <w:tc>
          <w:tcPr/>
          <w:p>
            <w:pPr>
              <w:pStyle w:val="Compact"/>
            </w:pPr>
            <w:r>
              <w:rPr>
                <w:b/>
                <w:bCs/>
              </w:rPr>
              <w:t xml:space="preserve">Support-Überlastung (Solo-Betrieb)</w:t>
            </w:r>
          </w:p>
        </w:tc>
        <w:tc>
          <w:tcPr/>
          <w:p>
            <w:pPr>
              <w:pStyle w:val="Compact"/>
            </w:pPr>
            <w:r>
              <w:t xml:space="preserve">Mittel</w:t>
            </w:r>
          </w:p>
        </w:tc>
        <w:tc>
          <w:tcPr/>
          <w:p>
            <w:pPr>
              <w:pStyle w:val="Compact"/>
            </w:pPr>
            <w:r>
              <w:t xml:space="preserve">Mittel</w:t>
            </w:r>
          </w:p>
        </w:tc>
        <w:tc>
          <w:tcPr/>
          <w:p>
            <w:pPr>
              <w:pStyle w:val="Compact"/>
            </w:pPr>
            <w:r>
              <w:t xml:space="preserve">🟡 Moderat</w:t>
            </w:r>
          </w:p>
        </w:tc>
        <w:tc>
          <w:tcPr/>
          <w:p>
            <w:pPr>
              <w:pStyle w:val="Compact"/>
            </w:pPr>
            <w:r>
              <w:t xml:space="preserve">Abo-Tiering begrenzt Support-Anfragen; Monitoring automatisieren; klare SLA-Grenzen</w:t>
            </w:r>
          </w:p>
        </w:tc>
      </w:tr>
      <w:tr>
        <w:tc>
          <w:tcPr/>
          <w:p>
            <w:pPr>
              <w:pStyle w:val="Compact"/>
            </w:pPr>
            <w:r>
              <w:rPr>
                <w:b/>
                <w:bCs/>
              </w:rPr>
              <w:t xml:space="preserve">Technischer Fehler/Hardware-Ausfall beim Kunden</w:t>
            </w:r>
          </w:p>
        </w:tc>
        <w:tc>
          <w:tcPr/>
          <w:p>
            <w:pPr>
              <w:pStyle w:val="Compact"/>
            </w:pPr>
            <w:r>
              <w:t xml:space="preserve">Mittel</w:t>
            </w:r>
          </w:p>
        </w:tc>
        <w:tc>
          <w:tcPr/>
          <w:p>
            <w:pPr>
              <w:pStyle w:val="Compact"/>
            </w:pPr>
            <w:r>
              <w:t xml:space="preserve">Hoch</w:t>
            </w:r>
          </w:p>
        </w:tc>
        <w:tc>
          <w:tcPr/>
          <w:p>
            <w:pPr>
              <w:pStyle w:val="Compact"/>
            </w:pPr>
            <w:r>
              <w:t xml:space="preserve">🟠 Erheblich</w:t>
            </w:r>
          </w:p>
        </w:tc>
        <w:tc>
          <w:tcPr/>
          <w:p>
            <w:pPr>
              <w:pStyle w:val="Compact"/>
            </w:pPr>
            <w:r>
              <w:t xml:space="preserve">Betriebshaftpflicht; klare Haftungsbegrenzung in AGB; schneller Austauschprozess</w:t>
            </w:r>
          </w:p>
        </w:tc>
      </w:tr>
      <w:tr>
        <w:tc>
          <w:tcPr/>
          <w:p>
            <w:pPr>
              <w:pStyle w:val="Compact"/>
            </w:pPr>
            <w:r>
              <w:rPr>
                <w:b/>
                <w:bCs/>
              </w:rPr>
              <w:t xml:space="preserve">Regulatory Surprise (EU AI Act neue Pflichten)</w:t>
            </w:r>
          </w:p>
        </w:tc>
        <w:tc>
          <w:tcPr/>
          <w:p>
            <w:pPr>
              <w:pStyle w:val="Compact"/>
            </w:pPr>
            <w:r>
              <w:t xml:space="preserve">Niedrig</w:t>
            </w:r>
          </w:p>
        </w:tc>
        <w:tc>
          <w:tcPr/>
          <w:p>
            <w:pPr>
              <w:pStyle w:val="Compact"/>
            </w:pPr>
            <w:r>
              <w:t xml:space="preserve">Mittel</w:t>
            </w:r>
          </w:p>
        </w:tc>
        <w:tc>
          <w:tcPr/>
          <w:p>
            <w:pPr>
              <w:pStyle w:val="Compact"/>
            </w:pPr>
            <w:r>
              <w:t xml:space="preserve">🟡 Moderat</w:t>
            </w:r>
          </w:p>
        </w:tc>
        <w:tc>
          <w:tcPr/>
          <w:p>
            <w:pPr>
              <w:pStyle w:val="Compact"/>
            </w:pPr>
            <w:r>
              <w:t xml:space="preserve">Rechtsberatung verfolgt EU AI Act; lokale Kontrolle ist compliance-vorteilhaft</w:t>
            </w:r>
          </w:p>
        </w:tc>
      </w:tr>
      <w:tr>
        <w:tc>
          <w:tcPr/>
          <w:p>
            <w:pPr>
              <w:pStyle w:val="Compact"/>
            </w:pPr>
            <w:r>
              <w:rPr>
                <w:b/>
                <w:bCs/>
              </w:rPr>
              <w:t xml:space="preserve">Gründer fällt aus (Krankheit etc.)</w:t>
            </w:r>
          </w:p>
        </w:tc>
        <w:tc>
          <w:tcPr/>
          <w:p>
            <w:pPr>
              <w:pStyle w:val="Compact"/>
            </w:pPr>
            <w:r>
              <w:t xml:space="preserve">Niedrig</w:t>
            </w:r>
          </w:p>
        </w:tc>
        <w:tc>
          <w:tcPr/>
          <w:p>
            <w:pPr>
              <w:pStyle w:val="Compact"/>
            </w:pPr>
            <w:r>
              <w:t xml:space="preserve">Hoch</w:t>
            </w:r>
          </w:p>
        </w:tc>
        <w:tc>
          <w:tcPr/>
          <w:p>
            <w:pPr>
              <w:pStyle w:val="Compact"/>
            </w:pPr>
            <w:r>
              <w:t xml:space="preserve">🟠 Erheblich</w:t>
            </w:r>
          </w:p>
        </w:tc>
        <w:tc>
          <w:tcPr/>
          <w:p>
            <w:pPr>
              <w:pStyle w:val="Compact"/>
            </w:pPr>
            <w:r>
              <w:t xml:space="preserve">Versicherung (Berufsunfähigkeit), Notfall-Dokumentation, frühzeitig Netzwerk aufbauen</w:t>
            </w:r>
          </w:p>
        </w:tc>
      </w:tr>
      <w:tr>
        <w:tc>
          <w:tcPr/>
          <w:p>
            <w:pPr>
              <w:pStyle w:val="Compact"/>
            </w:pPr>
            <w:r>
              <w:rPr>
                <w:b/>
                <w:bCs/>
              </w:rPr>
              <w:t xml:space="preserve">Demo-Gerät defekt/verfügbar</w:t>
            </w:r>
          </w:p>
        </w:tc>
        <w:tc>
          <w:tcPr/>
          <w:p>
            <w:pPr>
              <w:pStyle w:val="Compact"/>
            </w:pPr>
            <w:r>
              <w:t xml:space="preserve">Niedrig</w:t>
            </w:r>
          </w:p>
        </w:tc>
        <w:tc>
          <w:tcPr/>
          <w:p>
            <w:pPr>
              <w:pStyle w:val="Compact"/>
            </w:pPr>
            <w:r>
              <w:t xml:space="preserve">Mittel</w:t>
            </w:r>
          </w:p>
        </w:tc>
        <w:tc>
          <w:tcPr/>
          <w:p>
            <w:pPr>
              <w:pStyle w:val="Compact"/>
            </w:pPr>
            <w:r>
              <w:t xml:space="preserve">🟡 Moderat</w:t>
            </w:r>
          </w:p>
        </w:tc>
        <w:tc>
          <w:tcPr/>
          <w:p>
            <w:pPr>
              <w:pStyle w:val="Compact"/>
            </w:pPr>
            <w:r>
              <w:t xml:space="preserve">Beschaffung priorisieren; Backup-Lieferant identifizieren</w:t>
            </w:r>
          </w:p>
        </w:tc>
      </w:tr>
    </w:tbl>
    <w:bookmarkEnd w:id="56"/>
    <w:bookmarkStart w:id="57" w:name="strategische-risikominimierung"/>
    <w:p>
      <w:pPr>
        <w:pStyle w:val="Heading3"/>
      </w:pPr>
      <w:r>
        <w:t xml:space="preserve">9.2 Strategische Risikominimierung</w:t>
      </w:r>
    </w:p>
    <w:p>
      <w:pPr>
        <w:pStyle w:val="FirstParagraph"/>
      </w:pPr>
      <w:r>
        <w:rPr>
          <w:b/>
          <w:bCs/>
        </w:rPr>
        <w:t xml:space="preserve">Prinzip 1: Der Wert liegt im Service, nicht in der Hardware.</w:t>
      </w:r>
      <w:r>
        <w:t xml:space="preserve"> </w:t>
      </w:r>
      <w:r>
        <w:t xml:space="preserve">Selbst wenn ein Kunde die gleiche Hardware woanders billiger kauft, fehlt ihm ohne PrivateMinds Setup, Konfiguration, Updates und Support das funktionierende System. Der Wechselkosten-Effekt ist real: ein eingerichtetes System mit RAG-Index, angepassten Modellen und eingespieltem Support-Prozess wechselt man nicht ohne Aufwand.</w:t>
      </w:r>
    </w:p>
    <w:p>
      <w:pPr>
        <w:pStyle w:val="BodyText"/>
      </w:pPr>
      <w:r>
        <w:rPr>
          <w:b/>
          <w:bCs/>
        </w:rPr>
        <w:t xml:space="preserve">Prinzip 2: Niedrige Fixkosten als strategischer Vorteil.</w:t>
      </w:r>
      <w:r>
        <w:t xml:space="preserve"> </w:t>
      </w:r>
      <w:r>
        <w:t xml:space="preserve">Die Ein-Personen-GmbH kann mit ~€4.000–€5.400/Monat operieren. Das gibt 12–18 Monate Runway mit Eigenkapital allein — selbst bei null Umsatz. Kein Investor-Druck, kein Wachstumszwang.</w:t>
      </w:r>
    </w:p>
    <w:p>
      <w:pPr>
        <w:pStyle w:val="BodyText"/>
      </w:pPr>
      <w:r>
        <w:rPr>
          <w:b/>
          <w:bCs/>
        </w:rPr>
        <w:t xml:space="preserve">Prinzip 3: Europäische Diversifikation.</w:t>
      </w:r>
      <w:r>
        <w:t xml:space="preserve"> </w:t>
      </w:r>
      <w:r>
        <w:t xml:space="preserve">Keine Abhängigkeit von einem nationalen Markt. Fällt DACH schwächer aus als geplant, kann Fokus auf NL/UK verlagert werden.</w:t>
      </w:r>
    </w:p>
    <w:p>
      <w:pPr>
        <w:pStyle w:val="BodyText"/>
      </w:pPr>
      <w:r>
        <w:rPr>
          <w:b/>
          <w:bCs/>
        </w:rPr>
        <w:t xml:space="preserve">Prinzip 4: Recurring Revenue als Stabilitätsanker.</w:t>
      </w:r>
      <w:r>
        <w:t xml:space="preserve"> </w:t>
      </w:r>
      <w:r>
        <w:t xml:space="preserve">Ab ~15 Professional-Kunden deckt der MRR alle Fixkosten. Von diesem Punkt an sind Hardware-Verkäufe</w:t>
      </w:r>
      <w:r>
        <w:t xml:space="preserve"> </w:t>
      </w:r>
      <w:r>
        <w:t xml:space="preserve">“Bonus”</w:t>
      </w:r>
      <w:r>
        <w:t xml:space="preserve">, nicht Überlebensbedingung.</w:t>
      </w:r>
    </w:p>
    <w:p>
      <w:r>
        <w:pict>
          <v:rect style="width:0;height:1.5pt" o:hralign="center" o:hrstd="t" o:hr="t"/>
        </w:pict>
      </w:r>
    </w:p>
    <w:bookmarkEnd w:id="57"/>
    <w:bookmarkEnd w:id="58"/>
    <w:bookmarkStart w:id="59" w:name="meilensteine-zeitplan"/>
    <w:p>
      <w:pPr>
        <w:pStyle w:val="Heading2"/>
      </w:pPr>
      <w:r>
        <w:t xml:space="preserve">10. Meilensteine &amp; Zeitplan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Zeitraum</w:t>
            </w:r>
          </w:p>
        </w:tc>
        <w:tc>
          <w:tcPr/>
          <w:p>
            <w:pPr>
              <w:pStyle w:val="Compact"/>
            </w:pPr>
            <w:r>
              <w:t xml:space="preserve">Meilenstein</w:t>
            </w:r>
          </w:p>
        </w:tc>
        <w:tc>
          <w:tcPr/>
          <w:p>
            <w:pPr>
              <w:pStyle w:val="Compact"/>
            </w:pPr>
            <w:r>
              <w:t xml:space="preserve">Konkrete Aktivitäten</w:t>
            </w:r>
          </w:p>
        </w:tc>
        <w:tc>
          <w:tcPr/>
          <w:p>
            <w:pPr>
              <w:pStyle w:val="Compact"/>
            </w:pPr>
            <w:r>
              <w:t xml:space="preserve">Erfolgskriterium</w:t>
            </w:r>
          </w:p>
        </w:tc>
      </w:tr>
      <w:tr>
        <w:tc>
          <w:tcPr/>
          <w:p>
            <w:pPr>
              <w:pStyle w:val="Compact"/>
            </w:pPr>
            <w:r>
              <w:rPr>
                <w:b/>
                <w:bCs/>
              </w:rPr>
              <w:t xml:space="preserve">Monat 1</w:t>
            </w:r>
          </w:p>
        </w:tc>
        <w:tc>
          <w:tcPr/>
          <w:p>
            <w:pPr>
              <w:pStyle w:val="Compact"/>
            </w:pPr>
            <w:r>
              <w:t xml:space="preserve">Rechtliche Gründung</w:t>
            </w:r>
          </w:p>
        </w:tc>
        <w:tc>
          <w:tcPr/>
          <w:p>
            <w:pPr>
              <w:pStyle w:val="Compact"/>
            </w:pPr>
            <w:r>
              <w:t xml:space="preserve">GmbH-Notar, Gesellschaftervertrag, Handelsregistereintrag, Geschäftskonto eröffnen</w:t>
            </w:r>
          </w:p>
        </w:tc>
        <w:tc>
          <w:tcPr/>
          <w:p>
            <w:pPr>
              <w:pStyle w:val="Compact"/>
            </w:pPr>
            <w:r>
              <w:t xml:space="preserve">GmbH eingetragen</w:t>
            </w:r>
          </w:p>
        </w:tc>
      </w:tr>
      <w:tr>
        <w:tc>
          <w:tcPr/>
          <w:p>
            <w:pPr>
              <w:pStyle w:val="Compact"/>
            </w:pPr>
            <w:r>
              <w:rPr>
                <w:b/>
                <w:bCs/>
              </w:rPr>
              <w:t xml:space="preserve">Monat 1</w:t>
            </w:r>
          </w:p>
        </w:tc>
        <w:tc>
          <w:tcPr/>
          <w:p>
            <w:pPr>
              <w:pStyle w:val="Compact"/>
            </w:pPr>
            <w:r>
              <w:t xml:space="preserve">Förderantrag</w:t>
            </w:r>
          </w:p>
        </w:tc>
        <w:tc>
          <w:tcPr/>
          <w:p>
            <w:pPr>
              <w:pStyle w:val="Compact"/>
            </w:pPr>
            <w:r>
              <w:t xml:space="preserve">Gründungszuschuss bei Agentur für Arbeit beantragen, InnoStartBonus prüfen</w:t>
            </w:r>
          </w:p>
        </w:tc>
        <w:tc>
          <w:tcPr/>
          <w:p>
            <w:pPr>
              <w:pStyle w:val="Compact"/>
            </w:pPr>
            <w:r>
              <w:t xml:space="preserve">Antrag eingereicht</w:t>
            </w:r>
          </w:p>
        </w:tc>
      </w:tr>
      <w:tr>
        <w:tc>
          <w:tcPr/>
          <w:p>
            <w:pPr>
              <w:pStyle w:val="Compact"/>
            </w:pPr>
            <w:r>
              <w:rPr>
                <w:b/>
                <w:bCs/>
              </w:rPr>
              <w:t xml:space="preserve">Monat 1–2</w:t>
            </w:r>
          </w:p>
        </w:tc>
        <w:tc>
          <w:tcPr/>
          <w:p>
            <w:pPr>
              <w:pStyle w:val="Compact"/>
            </w:pPr>
            <w:r>
              <w:t xml:space="preserve">Infrastruktur</w:t>
            </w:r>
          </w:p>
        </w:tc>
        <w:tc>
          <w:tcPr/>
          <w:p>
            <w:pPr>
              <w:pStyle w:val="Compact"/>
            </w:pPr>
            <w:r>
              <w:t xml:space="preserve">Demo-Gerät beschaffen, Entwicklungsumgebung aufbauen, Domain registrieren, E-Mail-Setup</w:t>
            </w:r>
          </w:p>
        </w:tc>
        <w:tc>
          <w:tcPr/>
          <w:p>
            <w:pPr>
              <w:pStyle w:val="Compact"/>
            </w:pPr>
            <w:r>
              <w:t xml:space="preserve">Gerät läuft, Domain aktiv</w:t>
            </w:r>
          </w:p>
        </w:tc>
      </w:tr>
      <w:tr>
        <w:tc>
          <w:tcPr/>
          <w:p>
            <w:pPr>
              <w:pStyle w:val="Compact"/>
            </w:pPr>
            <w:r>
              <w:rPr>
                <w:b/>
                <w:bCs/>
              </w:rPr>
              <w:t xml:space="preserve">Monat 2–4</w:t>
            </w:r>
          </w:p>
        </w:tc>
        <w:tc>
          <w:tcPr/>
          <w:p>
            <w:pPr>
              <w:pStyle w:val="Compact"/>
            </w:pPr>
            <w:r>
              <w:t xml:space="preserve">Dashboard MVP</w:t>
            </w:r>
          </w:p>
        </w:tc>
        <w:tc>
          <w:tcPr/>
          <w:p>
            <w:pPr>
              <w:pStyle w:val="Compact"/>
            </w:pPr>
            <w:r>
              <w:t xml:space="preserve">Chat-Interface, Dokument-Upload, Modellverwaltung, System-Monitor bauen</w:t>
            </w:r>
          </w:p>
        </w:tc>
        <w:tc>
          <w:tcPr/>
          <w:p>
            <w:pPr>
              <w:pStyle w:val="Compact"/>
            </w:pPr>
            <w:r>
              <w:t xml:space="preserve">Interne Demo-fähig</w:t>
            </w:r>
          </w:p>
        </w:tc>
      </w:tr>
      <w:tr>
        <w:tc>
          <w:tcPr/>
          <w:p>
            <w:pPr>
              <w:pStyle w:val="Compact"/>
            </w:pPr>
            <w:r>
              <w:rPr>
                <w:b/>
                <w:bCs/>
              </w:rPr>
              <w:t xml:space="preserve">Monat 2–4</w:t>
            </w:r>
          </w:p>
        </w:tc>
        <w:tc>
          <w:tcPr/>
          <w:p>
            <w:pPr>
              <w:pStyle w:val="Compact"/>
            </w:pPr>
            <w:r>
              <w:t xml:space="preserve">Rechtliche Grundlagen</w:t>
            </w:r>
          </w:p>
        </w:tc>
        <w:tc>
          <w:tcPr/>
          <w:p>
            <w:pPr>
              <w:pStyle w:val="Compact"/>
            </w:pPr>
            <w:r>
              <w:t xml:space="preserve">AGB + Serviceverträge (Englisch), Datenschutzkonzept, Haftungsfragen klären</w:t>
            </w:r>
          </w:p>
        </w:tc>
        <w:tc>
          <w:tcPr/>
          <w:p>
            <w:pPr>
              <w:pStyle w:val="Compact"/>
            </w:pPr>
            <w:r>
              <w:t xml:space="preserve">Verträge unterschriftsreif</w:t>
            </w:r>
          </w:p>
        </w:tc>
      </w:tr>
      <w:tr>
        <w:tc>
          <w:tcPr/>
          <w:p>
            <w:pPr>
              <w:pStyle w:val="Compact"/>
            </w:pPr>
            <w:r>
              <w:rPr>
                <w:b/>
                <w:bCs/>
              </w:rPr>
              <w:t xml:space="preserve">Monat 3–5</w:t>
            </w:r>
          </w:p>
        </w:tc>
        <w:tc>
          <w:tcPr/>
          <w:p>
            <w:pPr>
              <w:pStyle w:val="Compact"/>
            </w:pPr>
            <w:r>
              <w:t xml:space="preserve">Pilotkunden</w:t>
            </w:r>
          </w:p>
        </w:tc>
        <w:tc>
          <w:tcPr/>
          <w:p>
            <w:pPr>
              <w:pStyle w:val="Compact"/>
            </w:pPr>
            <w:r>
              <w:t xml:space="preserve">3–5 Pilotkunden in DACH identifizieren und gewinnen, Installationen durchführen</w:t>
            </w:r>
          </w:p>
        </w:tc>
        <w:tc>
          <w:tcPr/>
          <w:p>
            <w:pPr>
              <w:pStyle w:val="Compact"/>
            </w:pPr>
            <w:r>
              <w:t xml:space="preserve">Mindestens 2 zahlende Kunden</w:t>
            </w:r>
          </w:p>
        </w:tc>
      </w:tr>
      <w:tr>
        <w:tc>
          <w:tcPr/>
          <w:p>
            <w:pPr>
              <w:pStyle w:val="Compact"/>
            </w:pPr>
            <w:r>
              <w:rPr>
                <w:b/>
                <w:bCs/>
              </w:rPr>
              <w:t xml:space="preserve">Monat 4–6</w:t>
            </w:r>
          </w:p>
        </w:tc>
        <w:tc>
          <w:tcPr/>
          <w:p>
            <w:pPr>
              <w:pStyle w:val="Compact"/>
            </w:pPr>
            <w:r>
              <w:t xml:space="preserve">Feedback-Loop</w:t>
            </w:r>
          </w:p>
        </w:tc>
        <w:tc>
          <w:tcPr/>
          <w:p>
            <w:pPr>
              <w:pStyle w:val="Compact"/>
            </w:pPr>
            <w:r>
              <w:t xml:space="preserve">Piloten befragen, Dashboard verbessern, Prozesse validieren</w:t>
            </w:r>
          </w:p>
        </w:tc>
        <w:tc>
          <w:tcPr/>
          <w:p>
            <w:pPr>
              <w:pStyle w:val="Compact"/>
            </w:pPr>
            <w:r>
              <w:t xml:space="preserve">NPS &gt; 40, Testimonials vorhanden</w:t>
            </w:r>
          </w:p>
        </w:tc>
      </w:tr>
      <w:tr>
        <w:tc>
          <w:tcPr/>
          <w:p>
            <w:pPr>
              <w:pStyle w:val="Compact"/>
            </w:pPr>
            <w:r>
              <w:rPr>
                <w:b/>
                <w:bCs/>
              </w:rPr>
              <w:t xml:space="preserve">Monat 5–6</w:t>
            </w:r>
          </w:p>
        </w:tc>
        <w:tc>
          <w:tcPr/>
          <w:p>
            <w:pPr>
              <w:pStyle w:val="Compact"/>
            </w:pPr>
            <w:r>
              <w:t xml:space="preserve">Marktstart</w:t>
            </w:r>
          </w:p>
        </w:tc>
        <w:tc>
          <w:tcPr/>
          <w:p>
            <w:pPr>
              <w:pStyle w:val="Compact"/>
            </w:pPr>
            <w:r>
              <w:t xml:space="preserve">Englischsprachige Website live, Preismodell finalisieren, Fallstudien veröffentlichen</w:t>
            </w:r>
          </w:p>
        </w:tc>
        <w:tc>
          <w:tcPr/>
          <w:p>
            <w:pPr>
              <w:pStyle w:val="Compact"/>
            </w:pPr>
            <w:r>
              <w:t xml:space="preserve">Website live, erste Inbound-Anfragen</w:t>
            </w:r>
          </w:p>
        </w:tc>
      </w:tr>
      <w:tr>
        <w:tc>
          <w:tcPr/>
          <w:p>
            <w:pPr>
              <w:pStyle w:val="Compact"/>
            </w:pPr>
            <w:r>
              <w:rPr>
                <w:b/>
                <w:bCs/>
              </w:rPr>
              <w:t xml:space="preserve">Monat 6–9</w:t>
            </w:r>
          </w:p>
        </w:tc>
        <w:tc>
          <w:tcPr/>
          <w:p>
            <w:pPr>
              <w:pStyle w:val="Compact"/>
            </w:pPr>
            <w:r>
              <w:t xml:space="preserve">Europäische Expansion</w:t>
            </w:r>
          </w:p>
        </w:tc>
        <w:tc>
          <w:tcPr/>
          <w:p>
            <w:pPr>
              <w:pStyle w:val="Compact"/>
            </w:pPr>
            <w:r>
              <w:t xml:space="preserve">Content Marketing EN, LinkedIn-Präsenz, erste IT-Partner in NL/UK ansprechen</w:t>
            </w:r>
          </w:p>
        </w:tc>
        <w:tc>
          <w:tcPr/>
          <w:p>
            <w:pPr>
              <w:pStyle w:val="Compact"/>
            </w:pPr>
            <w:r>
              <w:t xml:space="preserve">2–3 Partner identifiziert</w:t>
            </w:r>
          </w:p>
        </w:tc>
      </w:tr>
      <w:tr>
        <w:tc>
          <w:tcPr/>
          <w:p>
            <w:pPr>
              <w:pStyle w:val="Compact"/>
            </w:pPr>
            <w:r>
              <w:rPr>
                <w:b/>
                <w:bCs/>
              </w:rPr>
              <w:t xml:space="preserve">Monat 9–12</w:t>
            </w:r>
          </w:p>
        </w:tc>
        <w:tc>
          <w:tcPr/>
          <w:p>
            <w:pPr>
              <w:pStyle w:val="Compact"/>
            </w:pPr>
            <w:r>
              <w:t xml:space="preserve">Skalierungsvorbereitung</w:t>
            </w:r>
          </w:p>
        </w:tc>
        <w:tc>
          <w:tcPr/>
          <w:p>
            <w:pPr>
              <w:pStyle w:val="Compact"/>
            </w:pPr>
            <w:r>
              <w:t xml:space="preserve">Prozesse dokumentieren, Support-Automatisierung, Dashboard V2 starten</w:t>
            </w:r>
          </w:p>
        </w:tc>
        <w:tc>
          <w:tcPr/>
          <w:p>
            <w:pPr>
              <w:pStyle w:val="Compact"/>
            </w:pPr>
            <w:r>
              <w:t xml:space="preserve">10 aktive Kunden, MRR €2.500+</w:t>
            </w:r>
          </w:p>
        </w:tc>
      </w:tr>
      <w:tr>
        <w:tc>
          <w:tcPr/>
          <w:p>
            <w:pPr>
              <w:pStyle w:val="Compact"/>
            </w:pPr>
            <w:r>
              <w:rPr>
                <w:b/>
                <w:bCs/>
              </w:rPr>
              <w:t xml:space="preserve">Jahr 2, Q1</w:t>
            </w:r>
          </w:p>
        </w:tc>
        <w:tc>
          <w:tcPr/>
          <w:p>
            <w:pPr>
              <w:pStyle w:val="Compact"/>
            </w:pPr>
            <w:r>
              <w:t xml:space="preserve">Break-even vorbereiten</w:t>
            </w:r>
          </w:p>
        </w:tc>
        <w:tc>
          <w:tcPr/>
          <w:p>
            <w:pPr>
              <w:pStyle w:val="Compact"/>
            </w:pPr>
            <w:r>
              <w:t xml:space="preserve">Partner-Netzwerk aktivieren, ggf. erste Stelle besetzen</w:t>
            </w:r>
          </w:p>
        </w:tc>
        <w:tc>
          <w:tcPr/>
          <w:p>
            <w:pPr>
              <w:pStyle w:val="Compact"/>
            </w:pPr>
            <w:r>
              <w:t xml:space="preserve">20+ Kunden, MRR €5.000+</w:t>
            </w:r>
          </w:p>
        </w:tc>
      </w:tr>
      <w:tr>
        <w:tc>
          <w:tcPr/>
          <w:p>
            <w:pPr>
              <w:pStyle w:val="Compact"/>
            </w:pPr>
            <w:r>
              <w:rPr>
                <w:b/>
                <w:bCs/>
              </w:rPr>
              <w:t xml:space="preserve">Jahr 2, Q3</w:t>
            </w:r>
          </w:p>
        </w:tc>
        <w:tc>
          <w:tcPr/>
          <w:p>
            <w:pPr>
              <w:pStyle w:val="Compact"/>
            </w:pPr>
            <w:r>
              <w:t xml:space="preserve">Break-even operational</w:t>
            </w:r>
          </w:p>
        </w:tc>
        <w:tc>
          <w:tcPr/>
          <w:p>
            <w:pPr>
              <w:pStyle w:val="Compact"/>
            </w:pPr>
            <w:r>
              <w:t xml:space="preserve">MRR deckt Fixkosten</w:t>
            </w:r>
          </w:p>
        </w:tc>
        <w:tc>
          <w:tcPr/>
          <w:p>
            <w:pPr>
              <w:pStyle w:val="Compact"/>
            </w:pPr>
            <w:r>
              <w:t xml:space="preserve">MRR &gt; €5.400/Monat</w:t>
            </w:r>
          </w:p>
        </w:tc>
      </w:tr>
      <w:tr>
        <w:tc>
          <w:tcPr/>
          <w:p>
            <w:pPr>
              <w:pStyle w:val="Compact"/>
            </w:pPr>
            <w:r>
              <w:rPr>
                <w:b/>
                <w:bCs/>
              </w:rPr>
              <w:t xml:space="preserve">Jahr 3</w:t>
            </w:r>
          </w:p>
        </w:tc>
        <w:tc>
          <w:tcPr/>
          <w:p>
            <w:pPr>
              <w:pStyle w:val="Compact"/>
            </w:pPr>
            <w:r>
              <w:t xml:space="preserve">Nachhaltiges Wachstum</w:t>
            </w:r>
          </w:p>
        </w:tc>
        <w:tc>
          <w:tcPr/>
          <w:p>
            <w:pPr>
              <w:pStyle w:val="Compact"/>
            </w:pPr>
            <w:r>
              <w:t xml:space="preserve">Team 4–6 Personen, 70+ Kunden, TGFS/MBG für Wachstumskapital prüfen</w:t>
            </w:r>
          </w:p>
        </w:tc>
        <w:tc>
          <w:tcPr/>
          <w:p>
            <w:pPr>
              <w:pStyle w:val="Compact"/>
            </w:pPr>
            <w:r>
              <w:t xml:space="preserve">Profitabel, skalierbar</w:t>
            </w:r>
          </w:p>
        </w:tc>
      </w:tr>
    </w:tbl>
    <w:p>
      <w:r>
        <w:pict>
          <v:rect style="width:0;height:1.5pt" o:hralign="center" o:hrstd="t" o:hr="t"/>
        </w:pict>
      </w:r>
    </w:p>
    <w:bookmarkEnd w:id="59"/>
    <w:bookmarkStart w:id="64" w:name="fördermöglichkeiten"/>
    <w:p>
      <w:pPr>
        <w:pStyle w:val="Heading2"/>
      </w:pPr>
      <w:r>
        <w:t xml:space="preserve">11. Fördermöglichkeiten</w:t>
      </w:r>
    </w:p>
    <w:bookmarkStart w:id="60" w:name="phase-1-sofort-handeln-vorbei-gründung"/>
    <w:p>
      <w:pPr>
        <w:pStyle w:val="Heading3"/>
      </w:pPr>
      <w:r>
        <w:t xml:space="preserve">11.1 Phase 1: Sofort handeln (vor/bei Gründung)</w:t>
      </w:r>
    </w:p>
    <w:p>
      <w:pPr>
        <w:pStyle w:val="FirstParagraph"/>
      </w:pPr>
      <w:r>
        <w:rPr>
          <w:b/>
          <w:bCs/>
        </w:rPr>
        <w:t xml:space="preserve">Gründungszuschuss (Agentur für Arbeit) — HÖCHSTE PRIORITÄT</w:t>
      </w:r>
      <w:r>
        <w:t xml:space="preserve"> </w:t>
      </w:r>
      <w:r>
        <w:t xml:space="preserve">- Voraussetzung: Gründer ist arbeitslos gemeldet ✅</w:t>
      </w:r>
      <w:r>
        <w:t xml:space="preserve"> </w:t>
      </w:r>
      <w:r>
        <w:t xml:space="preserve">- Phase 1: 6 Monate, ALG I-Betrag + €300/Monat</w:t>
      </w:r>
      <w:r>
        <w:t xml:space="preserve"> </w:t>
      </w:r>
      <w:r>
        <w:t xml:space="preserve">- Phase 2: 9 Monate, €300/Monat (auf separaten Antrag)</w:t>
      </w:r>
      <w:r>
        <w:t xml:space="preserve"> </w:t>
      </w:r>
      <w:r>
        <w:t xml:space="preserve">- Gesamtdauer: bis 15 Monate</w:t>
      </w:r>
      <w:r>
        <w:t xml:space="preserve"> </w:t>
      </w:r>
      <w:r>
        <w:t xml:space="preserve">- Geschätzte Gesamtleistung (bei ALG I €1.800/Monat): ~€13.800 (Phase 1) + €2.700 (Phase 2) = ~</w:t>
      </w:r>
      <w:r>
        <w:rPr>
          <w:b/>
          <w:bCs/>
        </w:rPr>
        <w:t xml:space="preserve">€16.500</w:t>
      </w:r>
      <w:r>
        <w:t xml:space="preserve"> </w:t>
      </w:r>
      <w:r>
        <w:t xml:space="preserve">-</w:t>
      </w:r>
      <w:r>
        <w:t xml:space="preserve"> </w:t>
      </w:r>
      <w:r>
        <w:rPr>
          <w:i/>
          <w:iCs/>
        </w:rPr>
        <w:t xml:space="preserve">Achtung: Antrag muss vor Gewerbeanmeldung/GmbH-Eintragung gestellt werden!</w:t>
      </w:r>
    </w:p>
    <w:p>
      <w:pPr>
        <w:pStyle w:val="BodyText"/>
      </w:pPr>
      <w:r>
        <w:rPr>
          <w:b/>
          <w:bCs/>
        </w:rPr>
        <w:t xml:space="preserve">InnoStartBonus Sachsen</w:t>
      </w:r>
      <w:r>
        <w:t xml:space="preserve"> </w:t>
      </w:r>
      <w:r>
        <w:t xml:space="preserve">- €1.050/Monat × 12 Monate =</w:t>
      </w:r>
      <w:r>
        <w:t xml:space="preserve"> </w:t>
      </w:r>
      <w:r>
        <w:rPr>
          <w:b/>
          <w:bCs/>
        </w:rPr>
        <w:t xml:space="preserve">€12.600</w:t>
      </w:r>
      <w:r>
        <w:t xml:space="preserve"> </w:t>
      </w:r>
      <w:r>
        <w:t xml:space="preserve">(zzgl. €150/Kind/Monat)</w:t>
      </w:r>
      <w:r>
        <w:t xml:space="preserve"> </w:t>
      </w:r>
      <w:r>
        <w:t xml:space="preserve">- Für innovative Gründer mit Wohnsitz in Sachsen ✅</w:t>
      </w:r>
      <w:r>
        <w:t xml:space="preserve"> </w:t>
      </w:r>
      <w:r>
        <w:t xml:space="preserve">- Beantragung über futureSAX-Plattform</w:t>
      </w:r>
      <w:r>
        <w:t xml:space="preserve"> </w:t>
      </w:r>
      <w:r>
        <w:t xml:space="preserve">- Kombinierbarkeit mit Gründungszuschuss prüfen (rechtlich komplex)</w:t>
      </w:r>
    </w:p>
    <w:p>
      <w:pPr>
        <w:pStyle w:val="BodyText"/>
      </w:pPr>
      <w:r>
        <w:rPr>
          <w:b/>
          <w:bCs/>
        </w:rPr>
        <w:t xml:space="preserve">ESF Plus Gründungsberatung Sachsen</w:t>
      </w:r>
      <w:r>
        <w:t xml:space="preserve"> </w:t>
      </w:r>
      <w:r>
        <w:t xml:space="preserve">- €2.000 Zuschuss für Gründungsberatungsleistungen</w:t>
      </w:r>
      <w:r>
        <w:t xml:space="preserve"> </w:t>
      </w:r>
      <w:r>
        <w:t xml:space="preserve">- Sofort beantragen für Steuer-/Rechtsberatung</w:t>
      </w:r>
    </w:p>
    <w:bookmarkEnd w:id="60"/>
    <w:bookmarkStart w:id="61" w:name="phase-2-nach-gründung-monat-16"/>
    <w:p>
      <w:pPr>
        <w:pStyle w:val="Heading3"/>
      </w:pPr>
      <w:r>
        <w:t xml:space="preserve">11.2 Phase 2: Nach Gründung (Monat 1–6)</w:t>
      </w:r>
    </w:p>
    <w:p>
      <w:pPr>
        <w:pStyle w:val="FirstParagraph"/>
      </w:pPr>
      <w:r>
        <w:rPr>
          <w:b/>
          <w:bCs/>
        </w:rPr>
        <w:t xml:space="preserve">SAB Mikrodarlehen</w:t>
      </w:r>
      <w:r>
        <w:t xml:space="preserve"> </w:t>
      </w:r>
      <w:r>
        <w:t xml:space="preserve">- Bis zu €20.000, direkt bei der Sächsischen Aufbaubank</w:t>
      </w:r>
      <w:r>
        <w:t xml:space="preserve"> </w:t>
      </w:r>
      <w:r>
        <w:t xml:space="preserve">- Bis zu 3 Jahre nach Gründung beantragbar</w:t>
      </w:r>
      <w:r>
        <w:t xml:space="preserve"> </w:t>
      </w:r>
      <w:r>
        <w:t xml:space="preserve">- Rückzahlung innerhalb von 5 Jahren</w:t>
      </w:r>
      <w:r>
        <w:t xml:space="preserve"> </w:t>
      </w:r>
      <w:r>
        <w:t xml:space="preserve">- Sinnvoll für: Hardware-Nachbeschaffung, Marketing-Investitionen</w:t>
      </w:r>
    </w:p>
    <w:p>
      <w:pPr>
        <w:pStyle w:val="BodyText"/>
      </w:pPr>
      <w:r>
        <w:rPr>
          <w:b/>
          <w:bCs/>
        </w:rPr>
        <w:t xml:space="preserve">Sachsenkredit</w:t>
      </w:r>
      <w:r>
        <w:rPr>
          <w:b/>
          <w:bCs/>
        </w:rPr>
        <w:t xml:space="preserve"> </w:t>
      </w:r>
      <w:r>
        <w:rPr>
          <w:b/>
          <w:bCs/>
        </w:rPr>
        <w:t xml:space="preserve">“Gründen und Wachsen”</w:t>
      </w:r>
      <w:r>
        <w:rPr>
          <w:b/>
          <w:bCs/>
        </w:rPr>
        <w:t xml:space="preserve"> </w:t>
      </w:r>
      <w:r>
        <w:rPr>
          <w:b/>
          <w:bCs/>
        </w:rPr>
        <w:t xml:space="preserve">(SAB)</w:t>
      </w:r>
      <w:r>
        <w:t xml:space="preserve"> </w:t>
      </w:r>
      <w:r>
        <w:t xml:space="preserve">- Zinsgünstige Darlehen bis €5 Mio.</w:t>
      </w:r>
      <w:r>
        <w:t xml:space="preserve"> </w:t>
      </w:r>
      <w:r>
        <w:t xml:space="preserve">- Basistilgungszuschuss 6–10%</w:t>
      </w:r>
      <w:r>
        <w:t xml:space="preserve"> </w:t>
      </w:r>
      <w:r>
        <w:t xml:space="preserve">- Über Hausbank beantragt (Durchleitung SAB)</w:t>
      </w:r>
    </w:p>
    <w:p>
      <w:pPr>
        <w:pStyle w:val="BodyText"/>
      </w:pPr>
      <w:r>
        <w:rPr>
          <w:b/>
          <w:bCs/>
        </w:rPr>
        <w:t xml:space="preserve">KfW ERP-Gründerkredit StartGeld</w:t>
      </w:r>
      <w:r>
        <w:t xml:space="preserve"> </w:t>
      </w:r>
      <w:r>
        <w:t xml:space="preserve">- Bis zu €125.000</w:t>
      </w:r>
      <w:r>
        <w:t xml:space="preserve"> </w:t>
      </w:r>
      <w:r>
        <w:t xml:space="preserve">- Günstige Zinsen, teilweise KfW-besichert</w:t>
      </w:r>
      <w:r>
        <w:t xml:space="preserve"> </w:t>
      </w:r>
      <w:r>
        <w:t xml:space="preserve">- Relevant als Ergänzung wenn Eigenkapital knapp wird</w:t>
      </w:r>
    </w:p>
    <w:p>
      <w:pPr>
        <w:pStyle w:val="BodyText"/>
      </w:pPr>
      <w:r>
        <w:rPr>
          <w:b/>
          <w:bCs/>
        </w:rPr>
        <w:t xml:space="preserve">NVIDIA Inception Programm</w:t>
      </w:r>
      <w:r>
        <w:t xml:space="preserve"> </w:t>
      </w:r>
      <w:r>
        <w:t xml:space="preserve">- Kostenlose technische Ressourcen, DGX Cloud-Credits, Netzwerkzugang</w:t>
      </w:r>
      <w:r>
        <w:t xml:space="preserve"> </w:t>
      </w:r>
      <w:r>
        <w:t xml:space="preserve">- Keine Kapital-Beteiligung</w:t>
      </w:r>
      <w:r>
        <w:t xml:space="preserve"> </w:t>
      </w:r>
      <w:r>
        <w:t xml:space="preserve">- Beantragung: nvidia.com/en-us/startups</w:t>
      </w:r>
      <w:r>
        <w:t xml:space="preserve"> </w:t>
      </w:r>
      <w:r>
        <w:t xml:space="preserve">- Gibt Credibility gegenüber Kunden (</w:t>
      </w:r>
      <w:r>
        <w:t xml:space="preserve">“NVIDIA Inception Member”</w:t>
      </w:r>
      <w:r>
        <w:t xml:space="preserve">)</w:t>
      </w:r>
    </w:p>
    <w:p>
      <w:pPr>
        <w:pStyle w:val="BodyText"/>
      </w:pPr>
      <w:r>
        <w:rPr>
          <w:b/>
          <w:bCs/>
        </w:rPr>
        <w:t xml:space="preserve">Silicon Saxony e.V. beitreten</w:t>
      </w:r>
      <w:r>
        <w:t xml:space="preserve"> </w:t>
      </w:r>
      <w:r>
        <w:t xml:space="preserve">- Jahresbeitrag: ~€500–€1.000</w:t>
      </w:r>
      <w:r>
        <w:t xml:space="preserve"> </w:t>
      </w:r>
      <w:r>
        <w:t xml:space="preserve">- ROI: Netzwerk, Matchmaking, Zugang zu Investoren und Partnern</w:t>
      </w:r>
    </w:p>
    <w:bookmarkEnd w:id="61"/>
    <w:bookmarkStart w:id="62" w:name="phase-3-wachstumsphase-ab-jahr-2"/>
    <w:p>
      <w:pPr>
        <w:pStyle w:val="Heading3"/>
      </w:pPr>
      <w:r>
        <w:t xml:space="preserve">11.3 Phase 3: Wachstumsphase (ab Jahr 2)</w:t>
      </w:r>
    </w:p>
    <w:p>
      <w:pPr>
        <w:pStyle w:val="FirstParagraph"/>
      </w:pPr>
      <w:r>
        <w:rPr>
          <w:b/>
          <w:bCs/>
        </w:rPr>
        <w:t xml:space="preserve">GRW RIGA Investitionszuschuss</w:t>
      </w:r>
      <w:r>
        <w:t xml:space="preserve"> </w:t>
      </w:r>
      <w:r>
        <w:t xml:space="preserve">- Bis 50% auf förderfähiges Investitionsvolumen</w:t>
      </w:r>
      <w:r>
        <w:t xml:space="preserve"> </w:t>
      </w:r>
      <w:r>
        <w:t xml:space="preserve">- Mindestinvestition in Dresden: €70.000</w:t>
      </w:r>
      <w:r>
        <w:t xml:space="preserve"> </w:t>
      </w:r>
      <w:r>
        <w:t xml:space="preserve">- Voraussetzung: Schaffung dauerhafter Arbeitsplätze</w:t>
      </w:r>
      <w:r>
        <w:t xml:space="preserve"> </w:t>
      </w:r>
      <w:r>
        <w:t xml:space="preserve">- Relevant wenn: Hardware-Lagerbestand aufgebaut wird oder erste Mitarbeiter kommen</w:t>
      </w:r>
    </w:p>
    <w:p>
      <w:pPr>
        <w:pStyle w:val="BodyText"/>
      </w:pPr>
      <w:r>
        <w:rPr>
          <w:b/>
          <w:bCs/>
        </w:rPr>
        <w:t xml:space="preserve">Technologiegründerfonds Sachsen (TGFS)</w:t>
      </w:r>
      <w:r>
        <w:t xml:space="preserve"> </w:t>
      </w:r>
      <w:r>
        <w:t xml:space="preserve">- TGFS Basic bis €500.000 (Eigenkapital-Beteiligung)</w:t>
      </w:r>
      <w:r>
        <w:t xml:space="preserve"> </w:t>
      </w:r>
      <w:r>
        <w:t xml:space="preserve">- TGFS Plus bis €4 Mio.</w:t>
      </w:r>
      <w:r>
        <w:t xml:space="preserve"> </w:t>
      </w:r>
      <w:r>
        <w:t xml:space="preserve">- Für spätere Wachstumsphase</w:t>
      </w:r>
    </w:p>
    <w:p>
      <w:pPr>
        <w:pStyle w:val="BodyText"/>
      </w:pPr>
      <w:r>
        <w:rPr>
          <w:b/>
          <w:bCs/>
        </w:rPr>
        <w:t xml:space="preserve">MBG Sachsen (Mittelständische Beteiligungsgesellschaft)</w:t>
      </w:r>
      <w:r>
        <w:t xml:space="preserve"> </w:t>
      </w:r>
      <w:r>
        <w:t xml:space="preserve">- Stille Beteiligungen €25.000–€1 Mio.</w:t>
      </w:r>
      <w:r>
        <w:t xml:space="preserve"> </w:t>
      </w:r>
      <w:r>
        <w:t xml:space="preserve">- Stärkt Eigenkapitalbasis ohne Kontrollverlust</w:t>
      </w:r>
    </w:p>
    <w:p>
      <w:pPr>
        <w:pStyle w:val="BodyText"/>
      </w:pPr>
      <w:r>
        <w:rPr>
          <w:b/>
          <w:bCs/>
        </w:rPr>
        <w:t xml:space="preserve">EU-Förderprogramme (Horizon Europe / EIC / Digital Europe)</w:t>
      </w:r>
      <w:r>
        <w:t xml:space="preserve"> </w:t>
      </w:r>
      <w:r>
        <w:t xml:space="preserve">- Komplex, besser für Jahr 2–3 geeignet</w:t>
      </w:r>
      <w:r>
        <w:t xml:space="preserve"> </w:t>
      </w:r>
      <w:r>
        <w:t xml:space="preserve">- Beratung durch dresden|exists empfohlen</w:t>
      </w:r>
    </w:p>
    <w:bookmarkEnd w:id="62"/>
    <w:bookmarkStart w:id="63" w:name="empfohlene-fördermittel-timeline"/>
    <w:p>
      <w:pPr>
        <w:pStyle w:val="Heading3"/>
      </w:pPr>
      <w:r>
        <w:t xml:space="preserve">11.4 Empfohlene Fördermittel-Timeline</w:t>
      </w:r>
    </w:p>
    <w:p>
      <w:pPr>
        <w:pStyle w:val="SourceCode"/>
      </w:pPr>
      <w:r>
        <w:rPr>
          <w:rStyle w:val="VerbatimChar"/>
        </w:rPr>
        <w:t xml:space="preserve">VOR Gründung:    Gründungszuschuss beantragen → ESF Plus Gründungsberatung</w:t>
      </w:r>
      <w:r>
        <w:br/>
      </w:r>
      <w:r>
        <w:rPr>
          <w:rStyle w:val="VerbatimChar"/>
        </w:rPr>
        <w:t xml:space="preserve">Monat 1:         InnoStartBonus (futureSAX), Silicon Saxony beitreten</w:t>
      </w:r>
      <w:r>
        <w:br/>
      </w:r>
      <w:r>
        <w:rPr>
          <w:rStyle w:val="VerbatimChar"/>
        </w:rPr>
        <w:t xml:space="preserve">Monat 2:         NVIDIA Inception beantragen</w:t>
      </w:r>
      <w:r>
        <w:br/>
      </w:r>
      <w:r>
        <w:rPr>
          <w:rStyle w:val="VerbatimChar"/>
        </w:rPr>
        <w:t xml:space="preserve">Monat 3:         SAB Mikrodarlehen (Liquiditätspuffer)</w:t>
      </w:r>
      <w:r>
        <w:br/>
      </w:r>
      <w:r>
        <w:rPr>
          <w:rStyle w:val="VerbatimChar"/>
        </w:rPr>
        <w:t xml:space="preserve">Monat 6+:        Sachsenkredit oder KfW prüfen (wenn Wachstum vorankommt)</w:t>
      </w:r>
      <w:r>
        <w:br/>
      </w:r>
      <w:r>
        <w:rPr>
          <w:rStyle w:val="VerbatimChar"/>
        </w:rPr>
        <w:t xml:space="preserve">Jahr 2:          GRW RIGA (bei Investitionen), TGFS/MBG (wenn Wachstumskapital nötig)</w:t>
      </w:r>
      <w:r>
        <w:br/>
      </w:r>
      <w:r>
        <w:rPr>
          <w:rStyle w:val="VerbatimChar"/>
        </w:rPr>
        <w:t xml:space="preserve">Jahr 2–3:        EU-Fördermittel (mit Beratung)</w:t>
      </w:r>
    </w:p>
    <w:p>
      <w:r>
        <w:pict>
          <v:rect style="width:0;height:1.5pt" o:hralign="center" o:hrstd="t" o:hr="t"/>
        </w:pict>
      </w:r>
    </w:p>
    <w:bookmarkEnd w:id="63"/>
    <w:bookmarkEnd w:id="64"/>
    <w:bookmarkStart w:id="71" w:name="offene-punkte-nächste-schritte"/>
    <w:p>
      <w:pPr>
        <w:pStyle w:val="Heading2"/>
      </w:pPr>
      <w:r>
        <w:t xml:space="preserve">12. Offene Punkte &amp; Nächste Schritte</w:t>
      </w:r>
    </w:p>
    <w:bookmarkStart w:id="65" w:name="sofort-prioritäten-diese-woche"/>
    <w:p>
      <w:pPr>
        <w:pStyle w:val="Heading3"/>
      </w:pPr>
      <w:r>
        <w:t xml:space="preserve">Sofort-Prioritäten (diese Woche)</w:t>
      </w:r>
    </w:p>
    <w:p>
      <w:pPr>
        <w:pStyle w:val="Compact"/>
        <w:numPr>
          <w:ilvl w:val="0"/>
          <w:numId w:val="1009"/>
        </w:numPr>
      </w:pPr>
      <w:r>
        <w:rPr>
          <w:b/>
          <w:bCs/>
        </w:rPr>
        <w:t xml:space="preserve">Gründungszuschuss-Termin</w:t>
      </w:r>
      <w:r>
        <w:t xml:space="preserve"> </w:t>
      </w:r>
      <w:r>
        <w:t xml:space="preserve">bei Agentur für Arbeit vereinbaren — vor jeder weiteren Gründungsaktivität!</w:t>
      </w:r>
    </w:p>
    <w:p>
      <w:pPr>
        <w:pStyle w:val="Compact"/>
        <w:numPr>
          <w:ilvl w:val="0"/>
          <w:numId w:val="1010"/>
        </w:numPr>
      </w:pPr>
      <w:r>
        <w:rPr>
          <w:b/>
          <w:bCs/>
        </w:rPr>
        <w:t xml:space="preserve">Notar</w:t>
      </w:r>
      <w:r>
        <w:t xml:space="preserve"> </w:t>
      </w:r>
      <w:r>
        <w:t xml:space="preserve">für GmbH-Gründung kontaktieren, Termin vereinbaren</w:t>
      </w:r>
    </w:p>
    <w:p>
      <w:pPr>
        <w:pStyle w:val="Compact"/>
        <w:numPr>
          <w:ilvl w:val="0"/>
          <w:numId w:val="1011"/>
        </w:numPr>
      </w:pPr>
      <w:r>
        <w:rPr>
          <w:b/>
          <w:bCs/>
        </w:rPr>
        <w:t xml:space="preserve">Steuerberater</w:t>
      </w:r>
      <w:r>
        <w:t xml:space="preserve"> </w:t>
      </w:r>
      <w:r>
        <w:t xml:space="preserve">auswählen und Erstgespräch buchen</w:t>
      </w:r>
    </w:p>
    <w:p>
      <w:pPr>
        <w:pStyle w:val="Compact"/>
        <w:numPr>
          <w:ilvl w:val="0"/>
          <w:numId w:val="1012"/>
        </w:numPr>
      </w:pPr>
      <w:r>
        <w:rPr>
          <w:b/>
          <w:bCs/>
        </w:rPr>
        <w:t xml:space="preserve">Domain</w:t>
      </w:r>
      <w:r>
        <w:t xml:space="preserve"> </w:t>
      </w:r>
      <w:r>
        <w:t xml:space="preserve">privatemind.eu und privatemind.de sichern (sofort, noch heute)</w:t>
      </w:r>
    </w:p>
    <w:bookmarkEnd w:id="65"/>
    <w:bookmarkStart w:id="66" w:name="geschäftsmodell-1"/>
    <w:p>
      <w:pPr>
        <w:pStyle w:val="Heading3"/>
      </w:pPr>
      <w:r>
        <w:t xml:space="preserve">Geschäftsmodell</w:t>
      </w:r>
    </w:p>
    <w:p>
      <w:pPr>
        <w:pStyle w:val="Compact"/>
        <w:numPr>
          <w:ilvl w:val="0"/>
          <w:numId w:val="1013"/>
        </w:numPr>
      </w:pPr>
      <w:r>
        <w:t xml:space="preserve">Hardware: verkaufen vs. leasen vs. beides — steuerliche und bilanzielle Implikationen mit Steuerberater klären</w:t>
      </w:r>
    </w:p>
    <w:p>
      <w:pPr>
        <w:pStyle w:val="Compact"/>
        <w:numPr>
          <w:ilvl w:val="0"/>
          <w:numId w:val="1014"/>
        </w:numPr>
      </w:pPr>
      <w:r>
        <w:t xml:space="preserve">Mindestvertragslaufzeiten für Abos (12 vs. 24 Monate) — mit erstem Kunden validieren</w:t>
      </w:r>
    </w:p>
    <w:p>
      <w:pPr>
        <w:pStyle w:val="Compact"/>
        <w:numPr>
          <w:ilvl w:val="0"/>
          <w:numId w:val="1015"/>
        </w:numPr>
      </w:pPr>
      <w:r>
        <w:t xml:space="preserve">Update-Auslieferung: Remote-Push vs. kundeninitiiert vs. Hybrid — Datenschutzkonzept beachten</w:t>
      </w:r>
    </w:p>
    <w:p>
      <w:pPr>
        <w:pStyle w:val="Compact"/>
        <w:numPr>
          <w:ilvl w:val="0"/>
          <w:numId w:val="1016"/>
        </w:numPr>
      </w:pPr>
      <w:r>
        <w:t xml:space="preserve">Preismodell mit echten Marktdaten validieren (5 Kundengespräche noch vor erster Investition)</w:t>
      </w:r>
    </w:p>
    <w:p>
      <w:pPr>
        <w:pStyle w:val="Compact"/>
        <w:numPr>
          <w:ilvl w:val="0"/>
          <w:numId w:val="1017"/>
        </w:numPr>
      </w:pPr>
      <w:r>
        <w:t xml:space="preserve">EU-MwSt / OSS-Verfahren klären (für Kunden in anderen EU-Ländern)</w:t>
      </w:r>
    </w:p>
    <w:bookmarkEnd w:id="66"/>
    <w:bookmarkStart w:id="67" w:name="produkt"/>
    <w:p>
      <w:pPr>
        <w:pStyle w:val="Heading3"/>
      </w:pPr>
      <w:r>
        <w:t xml:space="preserve">Produkt</w:t>
      </w:r>
    </w:p>
    <w:p>
      <w:pPr>
        <w:pStyle w:val="Compact"/>
        <w:numPr>
          <w:ilvl w:val="0"/>
          <w:numId w:val="1018"/>
        </w:numPr>
      </w:pPr>
      <w:r>
        <w:t xml:space="preserve">Dashboard MVP-Anforderungen in Tickets aufschlüsseln (GitHub Issues oder Jira)</w:t>
      </w:r>
    </w:p>
    <w:p>
      <w:pPr>
        <w:pStyle w:val="Compact"/>
        <w:numPr>
          <w:ilvl w:val="0"/>
          <w:numId w:val="1019"/>
        </w:numPr>
      </w:pPr>
      <w:r>
        <w:t xml:space="preserve">Standard-Modellauswahl festlegen (welche 3–5 Modelle für MVP)</w:t>
      </w:r>
    </w:p>
    <w:p>
      <w:pPr>
        <w:pStyle w:val="Compact"/>
        <w:numPr>
          <w:ilvl w:val="0"/>
          <w:numId w:val="1020"/>
        </w:numPr>
      </w:pPr>
      <w:r>
        <w:t xml:space="preserve">RAG-Pipeline: Technologie-Entscheidung (LangChain vs. LlamaIndex vs. Custom)</w:t>
      </w:r>
    </w:p>
    <w:p>
      <w:pPr>
        <w:pStyle w:val="Compact"/>
        <w:numPr>
          <w:ilvl w:val="0"/>
          <w:numId w:val="1021"/>
        </w:numPr>
      </w:pPr>
      <w:r>
        <w:t xml:space="preserve">Update-Mechanismus: Design-Dokument erstellen</w:t>
      </w:r>
    </w:p>
    <w:p>
      <w:pPr>
        <w:pStyle w:val="Compact"/>
        <w:numPr>
          <w:ilvl w:val="0"/>
          <w:numId w:val="1022"/>
        </w:numPr>
      </w:pPr>
      <w:r>
        <w:t xml:space="preserve">Security-Konzept: wie wird Fernwartungszugriff gesichert?</w:t>
      </w:r>
    </w:p>
    <w:bookmarkEnd w:id="67"/>
    <w:bookmarkStart w:id="68" w:name="rechtliches"/>
    <w:p>
      <w:pPr>
        <w:pStyle w:val="Heading3"/>
      </w:pPr>
      <w:r>
        <w:t xml:space="preserve">Rechtliches</w:t>
      </w:r>
    </w:p>
    <w:p>
      <w:pPr>
        <w:pStyle w:val="Compact"/>
        <w:numPr>
          <w:ilvl w:val="0"/>
          <w:numId w:val="1023"/>
        </w:numPr>
      </w:pPr>
      <w:r>
        <w:t xml:space="preserve">GmbH-Gründung: Notar, Gesellschaftsvertrag, Satzung</w:t>
      </w:r>
    </w:p>
    <w:p>
      <w:pPr>
        <w:pStyle w:val="Compact"/>
        <w:numPr>
          <w:ilvl w:val="0"/>
          <w:numId w:val="1024"/>
        </w:numPr>
      </w:pPr>
      <w:r>
        <w:t xml:space="preserve">AGB und Serviceverträge (Englisch, EU-konform)</w:t>
      </w:r>
    </w:p>
    <w:p>
      <w:pPr>
        <w:pStyle w:val="Compact"/>
        <w:numPr>
          <w:ilvl w:val="0"/>
          <w:numId w:val="1025"/>
        </w:numPr>
      </w:pPr>
      <w:r>
        <w:t xml:space="preserve">DSGVO-Dokumentation: Verarbeitungsverzeichnis-Vorlage für Kunden</w:t>
      </w:r>
    </w:p>
    <w:p>
      <w:pPr>
        <w:pStyle w:val="Compact"/>
        <w:numPr>
          <w:ilvl w:val="0"/>
          <w:numId w:val="1026"/>
        </w:numPr>
      </w:pPr>
      <w:r>
        <w:t xml:space="preserve">Haftungsfragen: KI-generierte Inhalte, Produkthaftung Hardware, Garantieausschluss</w:t>
      </w:r>
    </w:p>
    <w:p>
      <w:pPr>
        <w:pStyle w:val="Compact"/>
        <w:numPr>
          <w:ilvl w:val="0"/>
          <w:numId w:val="1027"/>
        </w:numPr>
      </w:pPr>
      <w:r>
        <w:t xml:space="preserve">Umsatzsteuer-Registrierung / OSS für EU-Verkauf</w:t>
      </w:r>
    </w:p>
    <w:p>
      <w:pPr>
        <w:pStyle w:val="Compact"/>
        <w:numPr>
          <w:ilvl w:val="0"/>
          <w:numId w:val="1028"/>
        </w:numPr>
      </w:pPr>
      <w:r>
        <w:t xml:space="preserve">Lieferantenbedingungen ASUS/Dell prüfen (Wiederverkaufsrechte, Garantieübertragung)</w:t>
      </w:r>
    </w:p>
    <w:bookmarkEnd w:id="68"/>
    <w:bookmarkStart w:id="69" w:name="vertrieb"/>
    <w:p>
      <w:pPr>
        <w:pStyle w:val="Heading3"/>
      </w:pPr>
      <w:r>
        <w:t xml:space="preserve">Vertrieb</w:t>
      </w:r>
    </w:p>
    <w:p>
      <w:pPr>
        <w:pStyle w:val="Compact"/>
        <w:numPr>
          <w:ilvl w:val="0"/>
          <w:numId w:val="1029"/>
        </w:numPr>
      </w:pPr>
      <w:r>
        <w:t xml:space="preserve">Erste 10 potenzielle Pilotkunden identifizieren (LinkedIn-Recherche, Netzwerk)</w:t>
      </w:r>
    </w:p>
    <w:p>
      <w:pPr>
        <w:pStyle w:val="Compact"/>
        <w:numPr>
          <w:ilvl w:val="0"/>
          <w:numId w:val="1030"/>
        </w:numPr>
      </w:pPr>
      <w:r>
        <w:t xml:space="preserve">Pitch Deck erstellen (Englisch, 10–12 Slides, Demo-fokussiert)</w:t>
      </w:r>
    </w:p>
    <w:p>
      <w:pPr>
        <w:pStyle w:val="Compact"/>
        <w:numPr>
          <w:ilvl w:val="0"/>
          <w:numId w:val="1031"/>
        </w:numPr>
      </w:pPr>
      <w:r>
        <w:t xml:space="preserve">Website-Briefing schreiben (oder selbst aufsetzen)</w:t>
      </w:r>
    </w:p>
    <w:p>
      <w:pPr>
        <w:pStyle w:val="Compact"/>
        <w:numPr>
          <w:ilvl w:val="0"/>
          <w:numId w:val="1032"/>
        </w:numPr>
      </w:pPr>
      <w:r>
        <w:t xml:space="preserve">Demo-Skript entwickeln: 20-Minuten-Live-Demo-Ablauf</w:t>
      </w:r>
    </w:p>
    <w:bookmarkEnd w:id="69"/>
    <w:bookmarkStart w:id="70" w:name="finanzen"/>
    <w:p>
      <w:pPr>
        <w:pStyle w:val="Heading3"/>
      </w:pPr>
      <w:r>
        <w:t xml:space="preserve">Finanzen</w:t>
      </w:r>
    </w:p>
    <w:p>
      <w:pPr>
        <w:pStyle w:val="Compact"/>
        <w:numPr>
          <w:ilvl w:val="0"/>
          <w:numId w:val="1033"/>
        </w:numPr>
      </w:pPr>
      <w:r>
        <w:t xml:space="preserve">Detaillierten Liquiditätsplan (Monat für Monat, 24 Monate) als Tabelle führen</w:t>
      </w:r>
    </w:p>
    <w:p>
      <w:pPr>
        <w:pStyle w:val="Compact"/>
        <w:numPr>
          <w:ilvl w:val="0"/>
          <w:numId w:val="1034"/>
        </w:numPr>
      </w:pPr>
      <w:r>
        <w:t xml:space="preserve">Gründungszuschuss-Unterlagen vorbereiten (Businessplan-Kurzform, Lebenslauf, Kapitalbedarf)</w:t>
      </w:r>
    </w:p>
    <w:p>
      <w:pPr>
        <w:pStyle w:val="Compact"/>
        <w:numPr>
          <w:ilvl w:val="0"/>
          <w:numId w:val="1035"/>
        </w:numPr>
      </w:pPr>
      <w:r>
        <w:t xml:space="preserve">Geschäftskonto eröffnen (Empfehlung: Commerzbank, Deutsche Bank oder FinTech wie Qonto für KMU)</w:t>
      </w:r>
    </w:p>
    <w:p>
      <w:r>
        <w:pict>
          <v:rect style="width:0;height:1.5pt" o:hralign="center" o:hrstd="t" o:hr="t"/>
        </w:pict>
      </w:r>
    </w:p>
    <w:bookmarkEnd w:id="70"/>
    <w:bookmarkEnd w:id="71"/>
    <w:bookmarkStart w:id="76" w:name="anhang"/>
    <w:p>
      <w:pPr>
        <w:pStyle w:val="Heading2"/>
      </w:pPr>
      <w:r>
        <w:t xml:space="preserve">Anhang</w:t>
      </w:r>
    </w:p>
    <w:bookmarkStart w:id="72" w:name="Xb8bc526992380cc799807f2dcc166e248fb5fd5"/>
    <w:p>
      <w:pPr>
        <w:pStyle w:val="Heading3"/>
      </w:pPr>
      <w:r>
        <w:t xml:space="preserve">A. Technischer Vergleich: Hardware-Alternativen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Plattform</w:t>
            </w:r>
          </w:p>
        </w:tc>
        <w:tc>
          <w:tcPr/>
          <w:p>
            <w:pPr>
              <w:pStyle w:val="Compact"/>
            </w:pPr>
            <w:r>
              <w:t xml:space="preserve">Status</w:t>
            </w:r>
          </w:p>
        </w:tc>
        <w:tc>
          <w:tcPr/>
          <w:p>
            <w:pPr>
              <w:pStyle w:val="Compact"/>
            </w:pPr>
            <w:r>
              <w:t xml:space="preserve">Begründung</w:t>
            </w:r>
          </w:p>
        </w:tc>
      </w:tr>
      <w:tr>
        <w:tc>
          <w:tcPr/>
          <w:p>
            <w:pPr>
              <w:pStyle w:val="Compact"/>
            </w:pPr>
            <w:r>
              <w:rPr>
                <w:b/>
                <w:bCs/>
              </w:rPr>
              <w:t xml:space="preserve">ASUS Ascent GX10 (1TB/2TB/4TB)</w:t>
            </w:r>
          </w:p>
        </w:tc>
        <w:tc>
          <w:tcPr/>
          <w:p>
            <w:pPr>
              <w:pStyle w:val="Compact"/>
            </w:pPr>
            <w:r>
              <w:t xml:space="preserve">✅ Primäre Wahl</w:t>
            </w:r>
          </w:p>
        </w:tc>
        <w:tc>
          <w:tcPr/>
          <w:p>
            <w:pPr>
              <w:pStyle w:val="Compact"/>
            </w:pPr>
            <w:r>
              <w:t xml:space="preserve">Günstigstes GB10-System (ab ~€3.050), drei SSD-Varianten, optimiert für LLM-Inferenz, Clustering möglich. ASUS bietet keinen Support → USP für PrivateMind</w:t>
            </w:r>
          </w:p>
        </w:tc>
      </w:tr>
      <w:tr>
        <w:tc>
          <w:tcPr/>
          <w:p>
            <w:pPr>
              <w:pStyle w:val="Compact"/>
            </w:pPr>
            <w:r>
              <w:t xml:space="preserve">NVIDIA DGX Spark Founders Edition</w:t>
            </w:r>
          </w:p>
        </w:tc>
        <w:tc>
          <w:tcPr/>
          <w:p>
            <w:pPr>
              <w:pStyle w:val="Compact"/>
            </w:pPr>
            <w:r>
              <w:t xml:space="preserve">⚠️ Alternative / Backup</w:t>
            </w:r>
          </w:p>
        </w:tc>
        <w:tc>
          <w:tcPr/>
          <w:p>
            <w:pPr>
              <w:pStyle w:val="Compact"/>
            </w:pPr>
            <w:r>
              <w:t xml:space="preserve">Identische Hardware, aber nur 4TB-Konfiguration, €4.800 EU-Marketplace. ~€750–€1.750 teurer. Vorteil: NVIDIA-eigene Garantie</w:t>
            </w:r>
          </w:p>
        </w:tc>
      </w:tr>
      <w:tr>
        <w:tc>
          <w:tcPr/>
          <w:p>
            <w:pPr>
              <w:pStyle w:val="Compact"/>
            </w:pPr>
            <w:r>
              <w:t xml:space="preserve">Dell Pro Max GB10</w:t>
            </w:r>
          </w:p>
        </w:tc>
        <w:tc>
          <w:tcPr/>
          <w:p>
            <w:pPr>
              <w:pStyle w:val="Compact"/>
            </w:pPr>
            <w:r>
              <w:t xml:space="preserve">⚠️ Backup-Lieferant</w:t>
            </w:r>
          </w:p>
        </w:tc>
        <w:tc>
          <w:tcPr/>
          <w:p>
            <w:pPr>
              <w:pStyle w:val="Compact"/>
            </w:pPr>
            <w:r>
              <w:t xml:space="preserve">Gleicher Chip, höherer Preis, aber mit Dell-Support. Relevant bei ASUS-Lieferengpässen</w:t>
            </w:r>
          </w:p>
        </w:tc>
      </w:tr>
      <w:tr>
        <w:tc>
          <w:tcPr/>
          <w:p>
            <w:pPr>
              <w:pStyle w:val="Compact"/>
            </w:pPr>
            <w:r>
              <w:t xml:space="preserve">Lenovo PGX / HP ZGX</w:t>
            </w:r>
          </w:p>
        </w:tc>
        <w:tc>
          <w:tcPr/>
          <w:p>
            <w:pPr>
              <w:pStyle w:val="Compact"/>
            </w:pPr>
            <w:r>
              <w:t xml:space="preserve">⚠️ Backup-Lieferant</w:t>
            </w:r>
          </w:p>
        </w:tc>
        <w:tc>
          <w:tcPr/>
          <w:p>
            <w:pPr>
              <w:pStyle w:val="Compact"/>
            </w:pPr>
            <w:r>
              <w:t xml:space="preserve">Wie Dell</w:t>
            </w:r>
          </w:p>
        </w:tc>
      </w:tr>
      <w:tr>
        <w:tc>
          <w:tcPr/>
          <w:p>
            <w:pPr>
              <w:pStyle w:val="Compact"/>
            </w:pPr>
            <w:r>
              <w:t xml:space="preserve">Gigabyte AI TOP ATOM (ATAGB10-9000)</w:t>
            </w:r>
          </w:p>
        </w:tc>
        <w:tc>
          <w:tcPr/>
          <w:p>
            <w:pPr>
              <w:pStyle w:val="Compact"/>
            </w:pPr>
            <w:r>
              <w:t xml:space="preserve">⚠️ Preislich ähnlich</w:t>
            </w:r>
          </w:p>
        </w:tc>
        <w:tc>
          <w:tcPr/>
          <w:p>
            <w:pPr>
              <w:pStyle w:val="Compact"/>
            </w:pPr>
            <w:r>
              <w:t xml:space="preserve">ab €4.000, 4TB — kein Vorteil gegenüber ASUS</w:t>
            </w:r>
          </w:p>
        </w:tc>
      </w:tr>
      <w:tr>
        <w:tc>
          <w:tcPr/>
          <w:p>
            <w:pPr>
              <w:pStyle w:val="Compact"/>
            </w:pPr>
            <w:r>
              <w:t xml:space="preserve">MSI EdgeXpert 11SUS</w:t>
            </w:r>
          </w:p>
        </w:tc>
        <w:tc>
          <w:tcPr/>
          <w:p>
            <w:pPr>
              <w:pStyle w:val="Compact"/>
            </w:pPr>
            <w:r>
              <w:t xml:space="preserve">⚠️ Preislich ähnlich</w:t>
            </w:r>
          </w:p>
        </w:tc>
        <w:tc>
          <w:tcPr/>
          <w:p>
            <w:pPr>
              <w:pStyle w:val="Compact"/>
            </w:pPr>
            <w:r>
              <w:t xml:space="preserve">ab €3.700, 4TB</w:t>
            </w:r>
          </w:p>
        </w:tc>
      </w:tr>
      <w:tr>
        <w:tc>
          <w:tcPr/>
          <w:p>
            <w:pPr>
              <w:pStyle w:val="Compact"/>
            </w:pPr>
            <w:r>
              <w:t xml:space="preserve">NVIDIA Jetson Thor (T5000/T4000)</w:t>
            </w:r>
          </w:p>
        </w:tc>
        <w:tc>
          <w:tcPr/>
          <w:p>
            <w:pPr>
              <w:pStyle w:val="Compact"/>
            </w:pPr>
            <w:r>
              <w:t xml:space="preserve">❌ Ausgeschlossen</w:t>
            </w:r>
          </w:p>
        </w:tc>
        <w:tc>
          <w:tcPr/>
          <w:p>
            <w:pPr>
              <w:pStyle w:val="Compact"/>
            </w:pPr>
            <w:r>
              <w:t xml:space="preserve">Für Robotik optimiert, schwache LLM-Leistung (~10 tok/s für Llama 70B)</w:t>
            </w:r>
          </w:p>
        </w:tc>
      </w:tr>
      <w:tr>
        <w:tc>
          <w:tcPr/>
          <w:p>
            <w:pPr>
              <w:pStyle w:val="Compact"/>
            </w:pPr>
            <w:r>
              <w:t xml:space="preserve">NVIDIA Jetson AGX Orin</w:t>
            </w:r>
          </w:p>
        </w:tc>
        <w:tc>
          <w:tcPr/>
          <w:p>
            <w:pPr>
              <w:pStyle w:val="Compact"/>
            </w:pPr>
            <w:r>
              <w:t xml:space="preserve">❌ Ausgeschlossen</w:t>
            </w:r>
          </w:p>
        </w:tc>
        <w:tc>
          <w:tcPr/>
          <w:p>
            <w:pPr>
              <w:pStyle w:val="Compact"/>
            </w:pPr>
            <w:r>
              <w:t xml:space="preserve">Ampere (2 Generationen alt), max 64 GB RAM — unzureichend für aktuelle 70B-Modelle</w:t>
            </w:r>
          </w:p>
        </w:tc>
      </w:tr>
    </w:tbl>
    <w:p>
      <w:pPr>
        <w:pStyle w:val="BodyText"/>
      </w:pPr>
      <w:r>
        <w:rPr>
          <w:i/>
          <w:iCs/>
        </w:rPr>
        <w:t xml:space="preserve">Preishinweis: NVIDIA hat den DGX-Spark-Preis im Februar 2026 um ~€650 erhöht (weltweite LPDDR5X-Lieferengpässe). ASUS bleibt günstigstes GB10-System am Markt.</w:t>
      </w:r>
    </w:p>
    <w:bookmarkEnd w:id="72"/>
    <w:bookmarkStart w:id="73" w:name="X5c2789c59f2ae1304b059f9cca4f822d624fbfd"/>
    <w:p>
      <w:pPr>
        <w:pStyle w:val="Heading3"/>
      </w:pPr>
      <w:r>
        <w:t xml:space="preserve">B. Preisvergleich: Alle GB10-basierten Systeme</w:t>
      </w:r>
    </w:p>
    <w:p>
      <w:pPr>
        <w:pStyle w:val="FirstParagraph"/>
      </w:pPr>
      <w:r>
        <w:rPr>
          <w:i/>
          <w:iCs/>
        </w:rPr>
        <w:t xml:space="preserve">Alle Preise in EUR. EU-Marketplace wo verfügbar, sonst umgerechnet (~€0,93/$1, Stand April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Hersteller</w:t>
            </w:r>
          </w:p>
        </w:tc>
        <w:tc>
          <w:tcPr/>
          <w:p>
            <w:pPr>
              <w:pStyle w:val="Compact"/>
            </w:pPr>
            <w:r>
              <w:t xml:space="preserve">Modell</w:t>
            </w:r>
          </w:p>
        </w:tc>
        <w:tc>
          <w:tcPr/>
          <w:p>
            <w:pPr>
              <w:pStyle w:val="Compact"/>
            </w:pPr>
            <w:r>
              <w:t xml:space="preserve">SSD</w:t>
            </w:r>
          </w:p>
        </w:tc>
        <w:tc>
          <w:tcPr/>
          <w:p>
            <w:pPr>
              <w:pStyle w:val="Compact"/>
            </w:pPr>
            <w:r>
              <w:t xml:space="preserve">Preis (ca.)</w:t>
            </w:r>
          </w:p>
        </w:tc>
      </w:tr>
      <w:tr>
        <w:tc>
          <w:tcPr/>
          <w:p>
            <w:pPr>
              <w:pStyle w:val="Compact"/>
            </w:pPr>
            <w:r>
              <w:rPr>
                <w:b/>
                <w:bCs/>
              </w:rPr>
              <w:t xml:space="preserve">ASUS Ascent GX10</w:t>
            </w:r>
          </w:p>
        </w:tc>
        <w:tc>
          <w:tcPr/>
          <w:p>
            <w:pPr>
              <w:pStyle w:val="Compact"/>
            </w:pPr>
            <w:r>
              <w:t xml:space="preserve">GG0010BN</w:t>
            </w:r>
          </w:p>
        </w:tc>
        <w:tc>
          <w:tcPr/>
          <w:p>
            <w:pPr>
              <w:pStyle w:val="Compact"/>
            </w:pPr>
            <w:r>
              <w:t xml:space="preserve">1 TB</w:t>
            </w:r>
          </w:p>
        </w:tc>
        <w:tc>
          <w:tcPr/>
          <w:p>
            <w:pPr>
              <w:pStyle w:val="Compact"/>
            </w:pPr>
            <w:r>
              <w:t xml:space="preserve">ab</w:t>
            </w:r>
            <w:r>
              <w:t xml:space="preserve"> </w:t>
            </w:r>
            <w:r>
              <w:rPr>
                <w:b/>
                <w:bCs/>
              </w:rPr>
              <w:t xml:space="preserve">€3.050</w:t>
            </w:r>
          </w:p>
        </w:tc>
      </w:tr>
      <w:tr>
        <w:tc>
          <w:tcPr/>
          <w:p>
            <w:pPr>
              <w:pStyle w:val="Compact"/>
            </w:pPr>
            <w:r>
              <w:rPr>
                <w:b/>
                <w:bCs/>
              </w:rPr>
              <w:t xml:space="preserve">ASUS Ascent GX10</w:t>
            </w:r>
          </w:p>
        </w:tc>
        <w:tc>
          <w:tcPr/>
          <w:p>
            <w:pPr>
              <w:pStyle w:val="Compact"/>
            </w:pPr>
            <w:r>
              <w:t xml:space="preserve">GG0020BN</w:t>
            </w:r>
          </w:p>
        </w:tc>
        <w:tc>
          <w:tcPr/>
          <w:p>
            <w:pPr>
              <w:pStyle w:val="Compact"/>
            </w:pPr>
            <w:r>
              <w:t xml:space="preserve">2 TB</w:t>
            </w:r>
          </w:p>
        </w:tc>
        <w:tc>
          <w:tcPr/>
          <w:p>
            <w:pPr>
              <w:pStyle w:val="Compact"/>
            </w:pPr>
            <w:r>
              <w:t xml:space="preserve">ab</w:t>
            </w:r>
            <w:r>
              <w:t xml:space="preserve"> </w:t>
            </w:r>
            <w:r>
              <w:rPr>
                <w:b/>
                <w:bCs/>
              </w:rPr>
              <w:t xml:space="preserve">€3.550</w:t>
            </w:r>
          </w:p>
        </w:tc>
      </w:tr>
      <w:tr>
        <w:tc>
          <w:tcPr/>
          <w:p>
            <w:pPr>
              <w:pStyle w:val="Compact"/>
            </w:pPr>
            <w:r>
              <w:rPr>
                <w:b/>
                <w:bCs/>
              </w:rPr>
              <w:t xml:space="preserve">ASUS Ascent GX10</w:t>
            </w:r>
          </w:p>
        </w:tc>
        <w:tc>
          <w:tcPr/>
          <w:p>
            <w:pPr>
              <w:pStyle w:val="Compact"/>
            </w:pPr>
            <w:r>
              <w:t xml:space="preserve">GG0016BN</w:t>
            </w:r>
          </w:p>
        </w:tc>
        <w:tc>
          <w:tcPr/>
          <w:p>
            <w:pPr>
              <w:pStyle w:val="Compact"/>
            </w:pPr>
            <w:r>
              <w:t xml:space="preserve">4 TB</w:t>
            </w:r>
          </w:p>
        </w:tc>
        <w:tc>
          <w:tcPr/>
          <w:p>
            <w:pPr>
              <w:pStyle w:val="Compact"/>
            </w:pPr>
            <w:r>
              <w:t xml:space="preserve">ab</w:t>
            </w:r>
            <w:r>
              <w:t xml:space="preserve"> </w:t>
            </w:r>
            <w:r>
              <w:rPr>
                <w:b/>
                <w:bCs/>
              </w:rPr>
              <w:t xml:space="preserve">€4.050</w:t>
            </w:r>
          </w:p>
        </w:tc>
      </w:tr>
      <w:tr>
        <w:tc>
          <w:tcPr/>
          <w:p>
            <w:pPr>
              <w:pStyle w:val="Compact"/>
            </w:pPr>
            <w:r>
              <w:t xml:space="preserve">MSI EdgeXpert</w:t>
            </w:r>
          </w:p>
        </w:tc>
        <w:tc>
          <w:tcPr/>
          <w:p>
            <w:pPr>
              <w:pStyle w:val="Compact"/>
            </w:pPr>
            <w:r>
              <w:t xml:space="preserve">11SUS</w:t>
            </w:r>
          </w:p>
        </w:tc>
        <w:tc>
          <w:tcPr/>
          <w:p>
            <w:pPr>
              <w:pStyle w:val="Compact"/>
            </w:pPr>
            <w:r>
              <w:t xml:space="preserve">4 TB</w:t>
            </w:r>
          </w:p>
        </w:tc>
        <w:tc>
          <w:tcPr/>
          <w:p>
            <w:pPr>
              <w:pStyle w:val="Compact"/>
            </w:pPr>
            <w:r>
              <w:t xml:space="preserve">ab €3.700</w:t>
            </w:r>
          </w:p>
        </w:tc>
      </w:tr>
      <w:tr>
        <w:tc>
          <w:tcPr/>
          <w:p>
            <w:pPr>
              <w:pStyle w:val="Compact"/>
            </w:pPr>
            <w:r>
              <w:t xml:space="preserve">Gigabyte AI TOP ATOM</w:t>
            </w:r>
          </w:p>
        </w:tc>
        <w:tc>
          <w:tcPr/>
          <w:p>
            <w:pPr>
              <w:pStyle w:val="Compact"/>
            </w:pPr>
            <w:r>
              <w:t xml:space="preserve">ATAGB10-9000</w:t>
            </w:r>
          </w:p>
        </w:tc>
        <w:tc>
          <w:tcPr/>
          <w:p>
            <w:pPr>
              <w:pStyle w:val="Compact"/>
            </w:pPr>
            <w:r>
              <w:t xml:space="preserve">4 TB</w:t>
            </w:r>
          </w:p>
        </w:tc>
        <w:tc>
          <w:tcPr/>
          <w:p>
            <w:pPr>
              <w:pStyle w:val="Compact"/>
            </w:pPr>
            <w:r>
              <w:t xml:space="preserve">ab €4.000</w:t>
            </w:r>
          </w:p>
        </w:tc>
      </w:tr>
      <w:tr>
        <w:tc>
          <w:tcPr/>
          <w:p>
            <w:pPr>
              <w:pStyle w:val="Compact"/>
            </w:pPr>
            <w:r>
              <w:t xml:space="preserve">Acer Veriton</w:t>
            </w:r>
          </w:p>
        </w:tc>
        <w:tc>
          <w:tcPr/>
          <w:p>
            <w:pPr>
              <w:pStyle w:val="Compact"/>
            </w:pPr>
            <w:r>
              <w:t xml:space="preserve">VGN100</w:t>
            </w:r>
          </w:p>
        </w:tc>
        <w:tc>
          <w:tcPr/>
          <w:p>
            <w:pPr>
              <w:pStyle w:val="Compact"/>
            </w:pPr>
            <w:r>
              <w:t xml:space="preserve">4 TB</w:t>
            </w:r>
          </w:p>
        </w:tc>
        <w:tc>
          <w:tcPr/>
          <w:p>
            <w:pPr>
              <w:pStyle w:val="Compact"/>
            </w:pPr>
            <w:r>
              <w:t xml:space="preserve">ab €3.875</w:t>
            </w:r>
          </w:p>
        </w:tc>
      </w:tr>
      <w:tr>
        <w:tc>
          <w:tcPr/>
          <w:p>
            <w:pPr>
              <w:pStyle w:val="Compact"/>
            </w:pPr>
            <w:r>
              <w:t xml:space="preserve">NVIDIA DGX Spark</w:t>
            </w:r>
          </w:p>
        </w:tc>
        <w:tc>
          <w:tcPr/>
          <w:p>
            <w:pPr>
              <w:pStyle w:val="Compact"/>
            </w:pPr>
            <w:r>
              <w:t xml:space="preserve">Founders Edition</w:t>
            </w:r>
          </w:p>
        </w:tc>
        <w:tc>
          <w:tcPr/>
          <w:p>
            <w:pPr>
              <w:pStyle w:val="Compact"/>
            </w:pPr>
            <w:r>
              <w:t xml:space="preserve">4 TB</w:t>
            </w:r>
          </w:p>
        </w:tc>
        <w:tc>
          <w:tcPr/>
          <w:p>
            <w:pPr>
              <w:pStyle w:val="Compact"/>
            </w:pPr>
            <w:r>
              <w:t xml:space="preserve">€4.800</w:t>
            </w:r>
          </w:p>
        </w:tc>
      </w:tr>
      <w:tr>
        <w:tc>
          <w:tcPr/>
          <w:p>
            <w:pPr>
              <w:pStyle w:val="Compact"/>
            </w:pPr>
            <w:r>
              <w:t xml:space="preserve">Dell Pro Max GB10</w:t>
            </w:r>
          </w:p>
        </w:tc>
        <w:tc>
          <w:tcPr/>
          <w:p>
            <w:pPr>
              <w:pStyle w:val="Compact"/>
            </w:pPr>
            <w:r>
              <w:t xml:space="preserve">—</w:t>
            </w:r>
          </w:p>
        </w:tc>
        <w:tc>
          <w:tcPr/>
          <w:p>
            <w:pPr>
              <w:pStyle w:val="Compact"/>
            </w:pPr>
            <w:r>
              <w:t xml:space="preserve">4 TB</w:t>
            </w:r>
          </w:p>
        </w:tc>
        <w:tc>
          <w:tcPr/>
          <w:p>
            <w:pPr>
              <w:pStyle w:val="Compact"/>
            </w:pPr>
            <w:r>
              <w:t xml:space="preserve">~€4.500–€5.000</w:t>
            </w:r>
          </w:p>
        </w:tc>
      </w:tr>
    </w:tbl>
    <w:bookmarkEnd w:id="73"/>
    <w:bookmarkStart w:id="74" w:name="Xb7223d2e38c0dba3404b28e610bab2e6f52c65d"/>
    <w:p>
      <w:pPr>
        <w:pStyle w:val="Heading3"/>
      </w:pPr>
      <w:r>
        <w:t xml:space="preserve">C. Idealkunden-Profil (ICP — Ideal Customer Profile)</w:t>
      </w:r>
    </w:p>
    <w:p>
      <w:pPr>
        <w:pStyle w:val="FirstParagraph"/>
      </w:pPr>
      <w:r>
        <w:rPr>
          <w:b/>
          <w:bCs/>
        </w:rPr>
        <w:t xml:space="preserve">Persona 1: Die Kanzlei (Primär)</w:t>
      </w:r>
      <w:r>
        <w:t xml:space="preserve"> </w:t>
      </w:r>
      <w:r>
        <w:t xml:space="preserve">- Rechtsanwaltskanzlei, 3–15 Anwälte, spezialisiert (Arbeitsrecht, Familienrecht, Unternehmensrecht)</w:t>
      </w:r>
      <w:r>
        <w:t xml:space="preserve"> </w:t>
      </w:r>
      <w:r>
        <w:t xml:space="preserve">- Nutzt bereits digitale Aktenführung</w:t>
      </w:r>
      <w:r>
        <w:t xml:space="preserve"> </w:t>
      </w:r>
      <w:r>
        <w:t xml:space="preserve">- Schmerzpunkt: Mitarbeiter nutzen ChatGPT privat, Inhaber besorgt wegen Mandantengeheimnis</w:t>
      </w:r>
      <w:r>
        <w:t xml:space="preserve"> </w:t>
      </w:r>
      <w:r>
        <w:t xml:space="preserve">- Entscheidungsträger: Geschäftsführender Partner</w:t>
      </w:r>
      <w:r>
        <w:t xml:space="preserve"> </w:t>
      </w:r>
      <w:r>
        <w:t xml:space="preserve">- Budget: €500–€1.000/Monat für IT/Software vorhanden</w:t>
      </w:r>
      <w:r>
        <w:t xml:space="preserve"> </w:t>
      </w:r>
      <w:r>
        <w:t xml:space="preserve">- Akquisepfad: LinkedIn, Rechtsanwaltsverein-Netzwerk, Empfehlung</w:t>
      </w:r>
    </w:p>
    <w:p>
      <w:pPr>
        <w:pStyle w:val="BodyText"/>
      </w:pPr>
      <w:r>
        <w:rPr>
          <w:b/>
          <w:bCs/>
        </w:rPr>
        <w:t xml:space="preserve">Persona 2: Der Steuerberater/WP (Primär)</w:t>
      </w:r>
      <w:r>
        <w:t xml:space="preserve"> </w:t>
      </w:r>
      <w:r>
        <w:t xml:space="preserve">- 5–30 Mitarbeiter, KMU-fokussiert</w:t>
      </w:r>
      <w:r>
        <w:t xml:space="preserve"> </w:t>
      </w:r>
      <w:r>
        <w:t xml:space="preserve">- Nutzt DATEV, will KI für Mandantenkorrespondenz, Reporterstellung, Recherche</w:t>
      </w:r>
      <w:r>
        <w:t xml:space="preserve"> </w:t>
      </w:r>
      <w:r>
        <w:t xml:space="preserve">- Schmerzpunkt: DATEV-KI noch nicht ausreichend; externe Cloud-KI wegen Steuergeheimnis nicht nutzbar</w:t>
      </w:r>
      <w:r>
        <w:t xml:space="preserve"> </w:t>
      </w:r>
      <w:r>
        <w:t xml:space="preserve">- Entscheidungsträger: Kanzleiinhaber</w:t>
      </w:r>
      <w:r>
        <w:t xml:space="preserve"> </w:t>
      </w:r>
      <w:r>
        <w:t xml:space="preserve">- Akquisepfad: Steuerberaterverband, LinkedIn, persönliches Netzwerk</w:t>
      </w:r>
    </w:p>
    <w:p>
      <w:pPr>
        <w:pStyle w:val="BodyText"/>
      </w:pPr>
      <w:r>
        <w:rPr>
          <w:b/>
          <w:bCs/>
        </w:rPr>
        <w:t xml:space="preserve">Persona 3: Das Ingenieurbüro (Sekundär)</w:t>
      </w:r>
      <w:r>
        <w:t xml:space="preserve"> </w:t>
      </w:r>
      <w:r>
        <w:t xml:space="preserve">- 10–50 Mitarbeiter, Spezialisierung (Maschinenbau, Elektro, Architektur)</w:t>
      </w:r>
      <w:r>
        <w:t xml:space="preserve"> </w:t>
      </w:r>
      <w:r>
        <w:t xml:space="preserve">- Schmerzpunkt: proprietäre Konstruktionsdaten, Kunden-NDAs</w:t>
      </w:r>
      <w:r>
        <w:t xml:space="preserve"> </w:t>
      </w:r>
      <w:r>
        <w:t xml:space="preserve">- Potenzial: KI für technische Dokumentation, Normenrecherche, Ausschreibungen</w:t>
      </w:r>
      <w:r>
        <w:t xml:space="preserve"> </w:t>
      </w:r>
      <w:r>
        <w:t xml:space="preserve">- Budget: höher, IT-affinere Entscheider</w:t>
      </w:r>
    </w:p>
    <w:bookmarkEnd w:id="74"/>
    <w:bookmarkStart w:id="75" w:name="d.-marktdatenquellen"/>
    <w:p>
      <w:pPr>
        <w:pStyle w:val="Heading3"/>
      </w:pPr>
      <w:r>
        <w:t xml:space="preserve">D. Marktdatenquellen</w:t>
      </w:r>
    </w:p>
    <w:p>
      <w:pPr>
        <w:pStyle w:val="Compact"/>
        <w:numPr>
          <w:ilvl w:val="0"/>
          <w:numId w:val="1036"/>
        </w:numPr>
      </w:pPr>
      <w:r>
        <w:t xml:space="preserve">Eurostat KMU-Statistiken 2024</w:t>
      </w:r>
    </w:p>
    <w:p>
      <w:pPr>
        <w:pStyle w:val="Compact"/>
        <w:numPr>
          <w:ilvl w:val="0"/>
          <w:numId w:val="1036"/>
        </w:numPr>
      </w:pPr>
      <w:r>
        <w:t xml:space="preserve">Bitkom KI-Studie 2025</w:t>
      </w:r>
    </w:p>
    <w:p>
      <w:pPr>
        <w:pStyle w:val="Compact"/>
        <w:numPr>
          <w:ilvl w:val="0"/>
          <w:numId w:val="1036"/>
        </w:numPr>
      </w:pPr>
      <w:r>
        <w:t xml:space="preserve">NVIDIA Produktseiten und EU-Marketplace</w:t>
      </w:r>
    </w:p>
    <w:p>
      <w:pPr>
        <w:pStyle w:val="Compact"/>
        <w:numPr>
          <w:ilvl w:val="0"/>
          <w:numId w:val="1036"/>
        </w:numPr>
      </w:pPr>
      <w:r>
        <w:t xml:space="preserve">ServeTheHome Reviews (ASUS Ascent GX10)</w:t>
      </w:r>
    </w:p>
    <w:p>
      <w:pPr>
        <w:pStyle w:val="Compact"/>
        <w:numPr>
          <w:ilvl w:val="0"/>
          <w:numId w:val="1036"/>
        </w:numPr>
      </w:pPr>
      <w:r>
        <w:t xml:space="preserve">Tom’s Hardware, TechRadar, CNX Software — Benchmarks</w:t>
      </w:r>
    </w:p>
    <w:p>
      <w:pPr>
        <w:pStyle w:val="Compact"/>
        <w:numPr>
          <w:ilvl w:val="0"/>
          <w:numId w:val="1036"/>
        </w:numPr>
      </w:pPr>
      <w:r>
        <w:t xml:space="preserve">Newegg, Amazon EU — aktuelle Marktpreise (Stand: April 2026)</w:t>
      </w:r>
    </w:p>
    <w:p>
      <w:pPr>
        <w:pStyle w:val="Compact"/>
        <w:numPr>
          <w:ilvl w:val="0"/>
          <w:numId w:val="1036"/>
        </w:numPr>
      </w:pPr>
      <w:r>
        <w:t xml:space="preserve">EU AI Act — Volltext und Umsetzungsberichte</w:t>
      </w:r>
    </w:p>
    <w:p>
      <w:pPr>
        <w:pStyle w:val="Compact"/>
        <w:numPr>
          <w:ilvl w:val="0"/>
          <w:numId w:val="1036"/>
        </w:numPr>
      </w:pPr>
      <w:r>
        <w:t xml:space="preserve">DSGVO-Bußgeldstatistiken 2024 (EDPB Annual Report)</w:t>
      </w:r>
    </w:p>
    <w:p>
      <w:r>
        <w:pict>
          <v:rect style="width:0;height:1.5pt" o:hralign="center" o:hrstd="t" o:hr="t"/>
        </w:pict>
      </w:r>
    </w:p>
    <w:p>
      <w:pPr>
        <w:pStyle w:val="FirstParagraph"/>
      </w:pPr>
      <w:r>
        <w:rPr>
          <w:i/>
          <w:iCs/>
        </w:rPr>
        <w:t xml:space="preserve">Version 2.0 — Internes Steuerungsdokument. Alle Zahlen sind Planwerte auf Basis verfügbarer Marktdaten (Stand April 2026). Steuerliche und rechtliche Validierung durch Fachberater ist vor verbindlichen Entscheidungen erforderlich. Dieses Dokument ist lebendig — regelmäßige Überarbeitung mindestens quartalsweise empfohlen.</w:t>
      </w:r>
    </w:p>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2026-05-10T08:53:21Z</dcterms:created>
  <dcterms:modified xsi:type="dcterms:W3CDTF">2026-05-10T08:53:21Z</dcterms:modified>
</cp:coreProperties>
</file>

<file path=docProps/custom.xml><?xml version="1.0" encoding="utf-8"?>
<Properties xmlns="http://schemas.openxmlformats.org/officeDocument/2006/custom-properties" xmlns:vt="http://schemas.openxmlformats.org/officeDocument/2006/docPropsVTypes"/>
</file>