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D5200" w14:textId="0E9691CE" w:rsidR="00C037A5" w:rsidRDefault="00C037A5">
      <w:pPr>
        <w:pStyle w:val="Titolo"/>
        <w:rPr>
          <w:kern w:val="0"/>
          <w14:ligatures w14:val="none"/>
        </w:rPr>
      </w:pPr>
      <w:r>
        <w:t xml:space="preserve">Framework per la Gestione Centralizzata di </w:t>
      </w:r>
      <w:r w:rsidR="00970489">
        <w:t>Budget,</w:t>
      </w:r>
      <w:r>
        <w:t xml:space="preserve"> Forecast</w:t>
      </w:r>
      <w:r w:rsidR="00011CCF">
        <w:t xml:space="preserve"> e Contabilità</w:t>
      </w:r>
      <w:r>
        <w:t xml:space="preserve"> del Personale</w:t>
      </w:r>
    </w:p>
    <w:p w14:paraId="5AEFB54C" w14:textId="77777777" w:rsidR="00C037A5" w:rsidRDefault="00C037A5">
      <w:pPr>
        <w:pStyle w:val="Titolo1"/>
        <w:rPr>
          <w:rFonts w:eastAsia="Times New Roman"/>
        </w:rPr>
      </w:pPr>
      <w:r>
        <w:rPr>
          <w:rFonts w:eastAsia="Times New Roman"/>
        </w:rPr>
        <w:t>Introduzione</w:t>
      </w:r>
    </w:p>
    <w:p w14:paraId="390B02A5" w14:textId="77777777" w:rsidR="00C037A5" w:rsidRDefault="00C037A5">
      <w:pPr>
        <w:rPr>
          <w:rFonts w:eastAsiaTheme="minorEastAsia"/>
        </w:rPr>
      </w:pPr>
      <w:r>
        <w:t>La gestione centralizzata del budget e del forecast del personale presenta specifiche esigenze operative e tecniche che richiedono l’adozione di un framework dedicato. Di seguito vengono articolate le motivazioni, le modalità operative e le regole fondamentali che definiscono il processo di contabilizzazione e integrazione dei dati.</w:t>
      </w:r>
    </w:p>
    <w:p w14:paraId="76714C34" w14:textId="77777777" w:rsidR="00C037A5" w:rsidRDefault="00C037A5">
      <w:pPr>
        <w:pStyle w:val="Titolo2"/>
        <w:rPr>
          <w:rFonts w:eastAsia="Times New Roman"/>
        </w:rPr>
      </w:pPr>
      <w:r>
        <w:rPr>
          <w:rFonts w:eastAsia="Times New Roman"/>
        </w:rPr>
        <w:t>Premessa Operativa</w:t>
      </w:r>
    </w:p>
    <w:p w14:paraId="7385660B" w14:textId="7EFF8359" w:rsidR="00C037A5" w:rsidRDefault="00C037A5">
      <w:pPr>
        <w:rPr>
          <w:rFonts w:eastAsiaTheme="minorEastAsia"/>
        </w:rPr>
      </w:pPr>
      <w:r>
        <w:t>L’ufficio responsabile delle attività di budget e forecast opera mediante i fogli di calcolo di Formula Analytics, sfruttando le funzionalità di ramificazione offerte dallo strumento. Tuttavia, la necessità di centralizzare la gestione del personale impone l’adozione di un’eccezione alla prassi consolidata.</w:t>
      </w:r>
    </w:p>
    <w:p w14:paraId="5FA89746" w14:textId="77777777" w:rsidR="00C037A5" w:rsidRDefault="00C037A5">
      <w:pPr>
        <w:pStyle w:val="Titolo2"/>
        <w:rPr>
          <w:rFonts w:eastAsia="Times New Roman"/>
        </w:rPr>
      </w:pPr>
      <w:r>
        <w:rPr>
          <w:rFonts w:eastAsia="Times New Roman"/>
        </w:rPr>
        <w:t>Limitazioni della Gestione tramite Formula Analytics</w:t>
      </w:r>
    </w:p>
    <w:p w14:paraId="08B2159A" w14:textId="04E8B5AD" w:rsidR="00C037A5" w:rsidRDefault="00C037A5">
      <w:pPr>
        <w:rPr>
          <w:kern w:val="0"/>
          <w14:ligatures w14:val="none"/>
        </w:rPr>
      </w:pPr>
      <w:r>
        <w:t xml:space="preserve">L’utilizzo di Formula Analytics per la gestione del budget del personale centralmente per tutte le strutture si rivela poco pratico, poiché la centralizzazione </w:t>
      </w:r>
      <w:r w:rsidR="00ED7CD4">
        <w:t>necessi</w:t>
      </w:r>
      <w:r w:rsidR="00F842BF">
        <w:t xml:space="preserve">ta di </w:t>
      </w:r>
      <w:r>
        <w:t xml:space="preserve">codici batch </w:t>
      </w:r>
      <w:r w:rsidR="00F842BF">
        <w:t xml:space="preserve">per la </w:t>
      </w:r>
      <w:r>
        <w:t>contabilizzazione talmente complessi da allungare eccessivamente i tempi di salvataggio dei dati, compromettendo così l’efficacia del risultato.</w:t>
      </w:r>
    </w:p>
    <w:p w14:paraId="2937E5FE" w14:textId="77777777" w:rsidR="00C037A5" w:rsidRDefault="00C037A5">
      <w:pPr>
        <w:pStyle w:val="Titolo2"/>
        <w:rPr>
          <w:rFonts w:eastAsia="Times New Roman"/>
        </w:rPr>
      </w:pPr>
      <w:r>
        <w:rPr>
          <w:rFonts w:eastAsia="Times New Roman"/>
        </w:rPr>
        <w:t>Soluzione Proposta: Integrazione con Software Esterno</w:t>
      </w:r>
    </w:p>
    <w:p w14:paraId="607F1438" w14:textId="13C8A175" w:rsidR="00C037A5" w:rsidRDefault="00C037A5">
      <w:pPr>
        <w:rPr>
          <w:rFonts w:eastAsiaTheme="minorEastAsia"/>
        </w:rPr>
      </w:pPr>
      <w:r>
        <w:t xml:space="preserve">Per superare tali criticità, si stabilisce che i dati relativi al budget e al forecast del personale dovranno essere gestiti tramite un software esterno. Questo dovrà essere collegato </w:t>
      </w:r>
      <w:r w:rsidR="009F34E5">
        <w:t xml:space="preserve">con una connessione diretta </w:t>
      </w:r>
      <w:r w:rsidR="00D21D62">
        <w:t>tramite DB,</w:t>
      </w:r>
      <w:r>
        <w:t xml:space="preserve"> escludendo espressamente l’importazione di dati tramite file CSV o di testo, in ottemperanza alle policy di sicurezza aziendali.</w:t>
      </w:r>
    </w:p>
    <w:p w14:paraId="0637851C" w14:textId="77777777" w:rsidR="00C037A5" w:rsidRDefault="00C037A5">
      <w:pPr>
        <w:pStyle w:val="Titolo2"/>
        <w:rPr>
          <w:rFonts w:eastAsia="Times New Roman"/>
        </w:rPr>
      </w:pPr>
      <w:r>
        <w:rPr>
          <w:rFonts w:eastAsia="Times New Roman"/>
        </w:rPr>
        <w:t>Specifiche Tecniche per l’Integrazione dei Dati</w:t>
      </w:r>
    </w:p>
    <w:p w14:paraId="1AFA31B4" w14:textId="77777777" w:rsidR="00C037A5" w:rsidRDefault="00C037A5">
      <w:pPr>
        <w:rPr>
          <w:rFonts w:eastAsiaTheme="minorEastAsia"/>
        </w:rPr>
      </w:pPr>
      <w:r>
        <w:t>Il software esterno incaricato della gestione dovrà trasmettere i dati secondo una struttura predefinita, rispettando le seguenti indicazioni:</w:t>
      </w:r>
    </w:p>
    <w:p w14:paraId="0B519884" w14:textId="77777777" w:rsidR="00C037A5" w:rsidRDefault="00C037A5">
      <w:pPr>
        <w:pStyle w:val="Titolo3"/>
        <w:rPr>
          <w:rFonts w:eastAsia="Times New Roman"/>
        </w:rPr>
      </w:pPr>
      <w:r>
        <w:rPr>
          <w:rFonts w:eastAsia="Times New Roman"/>
        </w:rPr>
        <w:t>Fatti da Gestire</w:t>
      </w:r>
    </w:p>
    <w:p w14:paraId="5454B66D" w14:textId="77777777" w:rsidR="00C037A5" w:rsidRDefault="00C037A5" w:rsidP="00C037A5">
      <w:pPr>
        <w:numPr>
          <w:ilvl w:val="0"/>
          <w:numId w:val="15"/>
        </w:numPr>
        <w:spacing w:line="256" w:lineRule="auto"/>
        <w:rPr>
          <w:rFonts w:eastAsia="Times New Roman"/>
        </w:rPr>
      </w:pPr>
      <w:r>
        <w:rPr>
          <w:rFonts w:eastAsia="Times New Roman"/>
        </w:rPr>
        <w:t>Budget euro</w:t>
      </w:r>
    </w:p>
    <w:p w14:paraId="50E74F76" w14:textId="77777777" w:rsidR="00C037A5" w:rsidRDefault="00C037A5" w:rsidP="00C037A5">
      <w:pPr>
        <w:numPr>
          <w:ilvl w:val="0"/>
          <w:numId w:val="15"/>
        </w:numPr>
        <w:spacing w:line="256" w:lineRule="auto"/>
        <w:rPr>
          <w:rFonts w:eastAsia="Times New Roman"/>
        </w:rPr>
      </w:pPr>
      <w:r>
        <w:rPr>
          <w:rFonts w:eastAsia="Times New Roman"/>
        </w:rPr>
        <w:t>Forecast euro</w:t>
      </w:r>
    </w:p>
    <w:p w14:paraId="54E02FDE" w14:textId="77777777" w:rsidR="00C037A5" w:rsidRDefault="00C037A5">
      <w:pPr>
        <w:pStyle w:val="Titolo3"/>
        <w:rPr>
          <w:rFonts w:eastAsia="Times New Roman"/>
        </w:rPr>
      </w:pPr>
      <w:r>
        <w:rPr>
          <w:rFonts w:eastAsia="Times New Roman"/>
        </w:rPr>
        <w:t>Dimensioni di Riferimento</w:t>
      </w:r>
    </w:p>
    <w:p w14:paraId="379934DC" w14:textId="77777777" w:rsidR="00C037A5" w:rsidRDefault="00C037A5" w:rsidP="00C037A5">
      <w:pPr>
        <w:numPr>
          <w:ilvl w:val="0"/>
          <w:numId w:val="16"/>
        </w:numPr>
        <w:spacing w:line="256" w:lineRule="auto"/>
        <w:rPr>
          <w:rFonts w:eastAsia="Times New Roman"/>
        </w:rPr>
      </w:pPr>
      <w:r>
        <w:rPr>
          <w:rFonts w:eastAsia="Times New Roman"/>
        </w:rPr>
        <w:t>Tempo (anno, mese, giorno)</w:t>
      </w:r>
    </w:p>
    <w:p w14:paraId="0B8DB444" w14:textId="77777777" w:rsidR="00C037A5" w:rsidRDefault="00C037A5" w:rsidP="00C037A5">
      <w:pPr>
        <w:numPr>
          <w:ilvl w:val="0"/>
          <w:numId w:val="16"/>
        </w:numPr>
        <w:spacing w:line="256" w:lineRule="auto"/>
        <w:rPr>
          <w:rFonts w:eastAsia="Times New Roman"/>
        </w:rPr>
      </w:pPr>
      <w:r>
        <w:rPr>
          <w:rFonts w:eastAsia="Times New Roman"/>
        </w:rPr>
        <w:t>INSIEME</w:t>
      </w:r>
    </w:p>
    <w:p w14:paraId="56494E19" w14:textId="77777777" w:rsidR="00C037A5" w:rsidRDefault="00C037A5" w:rsidP="00C037A5">
      <w:pPr>
        <w:numPr>
          <w:ilvl w:val="0"/>
          <w:numId w:val="16"/>
        </w:numPr>
        <w:spacing w:line="256" w:lineRule="auto"/>
        <w:rPr>
          <w:rFonts w:eastAsia="Times New Roman"/>
        </w:rPr>
      </w:pPr>
      <w:r>
        <w:rPr>
          <w:rFonts w:eastAsia="Times New Roman"/>
        </w:rPr>
        <w:t>PRODOTTO</w:t>
      </w:r>
    </w:p>
    <w:p w14:paraId="5545F42A" w14:textId="77777777" w:rsidR="00C037A5" w:rsidRDefault="00C037A5" w:rsidP="00C037A5">
      <w:pPr>
        <w:numPr>
          <w:ilvl w:val="0"/>
          <w:numId w:val="16"/>
        </w:numPr>
        <w:spacing w:line="256" w:lineRule="auto"/>
        <w:rPr>
          <w:rFonts w:eastAsia="Times New Roman"/>
        </w:rPr>
      </w:pPr>
      <w:r>
        <w:rPr>
          <w:rFonts w:eastAsia="Times New Roman"/>
        </w:rPr>
        <w:t>CENTRO DI COSTO</w:t>
      </w:r>
    </w:p>
    <w:p w14:paraId="77B4DC5A" w14:textId="77777777" w:rsidR="00C037A5" w:rsidRDefault="00C037A5" w:rsidP="00C037A5">
      <w:pPr>
        <w:numPr>
          <w:ilvl w:val="0"/>
          <w:numId w:val="16"/>
        </w:numPr>
        <w:spacing w:line="256" w:lineRule="auto"/>
        <w:rPr>
          <w:rFonts w:eastAsia="Times New Roman"/>
        </w:rPr>
      </w:pPr>
      <w:r>
        <w:rPr>
          <w:rFonts w:eastAsia="Times New Roman"/>
        </w:rPr>
        <w:t>NATURA</w:t>
      </w:r>
    </w:p>
    <w:p w14:paraId="70765484" w14:textId="77777777" w:rsidR="00C037A5" w:rsidRDefault="00C037A5">
      <w:pPr>
        <w:pStyle w:val="Titolo2"/>
        <w:rPr>
          <w:rFonts w:eastAsia="Times New Roman"/>
        </w:rPr>
      </w:pPr>
      <w:r>
        <w:rPr>
          <w:rFonts w:eastAsia="Times New Roman"/>
        </w:rPr>
        <w:lastRenderedPageBreak/>
        <w:t>Nota Bene</w:t>
      </w:r>
    </w:p>
    <w:p w14:paraId="0695347B" w14:textId="77777777" w:rsidR="00C037A5" w:rsidRDefault="00C037A5">
      <w:pPr>
        <w:rPr>
          <w:rFonts w:eastAsiaTheme="minorEastAsia"/>
        </w:rPr>
      </w:pPr>
      <w:r>
        <w:t>Le anagrafiche delle dimensioni INSIEME, PRODOTTO, CENTRO DI COSTO e NATURA sono gestite dal sistema Sage X3. Di conseguenza, il software esterno dovrà ricevere in modo dinamico tali informazioni direttamente da Sage X3, per garantire l’allineamento e la correttezza dei dati gestiti.</w:t>
      </w:r>
    </w:p>
    <w:p w14:paraId="250B1526" w14:textId="77777777" w:rsidR="00C037A5" w:rsidRDefault="00C037A5">
      <w:pPr>
        <w:pStyle w:val="Titolo2"/>
        <w:rPr>
          <w:rFonts w:eastAsia="Times New Roman"/>
        </w:rPr>
      </w:pPr>
      <w:r>
        <w:rPr>
          <w:rFonts w:eastAsia="Times New Roman"/>
        </w:rPr>
        <w:t>Vincoli sulle Nature Contabili</w:t>
      </w:r>
    </w:p>
    <w:p w14:paraId="35370AB4" w14:textId="77777777" w:rsidR="00C037A5" w:rsidRDefault="00C037A5">
      <w:pPr>
        <w:rPr>
          <w:rFonts w:eastAsiaTheme="minorEastAsia"/>
        </w:rPr>
      </w:pPr>
      <w:r>
        <w:t>I dati di costo relativi a budget e forecast dovranno essere ricapitolati esclusivamente sulle seguenti nature contabili:</w:t>
      </w:r>
    </w:p>
    <w:p w14:paraId="1BA26233" w14:textId="77777777" w:rsidR="00C037A5" w:rsidRDefault="00C037A5" w:rsidP="00C037A5">
      <w:pPr>
        <w:numPr>
          <w:ilvl w:val="0"/>
          <w:numId w:val="17"/>
        </w:numPr>
        <w:spacing w:line="256" w:lineRule="auto"/>
        <w:rPr>
          <w:rFonts w:eastAsia="Times New Roman"/>
        </w:rPr>
      </w:pPr>
      <w:r>
        <w:rPr>
          <w:rFonts w:eastAsia="Times New Roman"/>
        </w:rPr>
        <w:t>53000101 – RETRIBUZIONI</w:t>
      </w:r>
    </w:p>
    <w:p w14:paraId="3F9E0AF4" w14:textId="77777777" w:rsidR="00C037A5" w:rsidRDefault="00C037A5" w:rsidP="00C037A5">
      <w:pPr>
        <w:numPr>
          <w:ilvl w:val="0"/>
          <w:numId w:val="17"/>
        </w:numPr>
        <w:spacing w:line="256" w:lineRule="auto"/>
        <w:rPr>
          <w:rFonts w:eastAsia="Times New Roman"/>
        </w:rPr>
      </w:pPr>
      <w:r>
        <w:rPr>
          <w:rFonts w:eastAsia="Times New Roman"/>
        </w:rPr>
        <w:t>53000102 – BONUS DIP</w:t>
      </w:r>
    </w:p>
    <w:p w14:paraId="3A46F7C1" w14:textId="2D1BE56E" w:rsidR="0009154E" w:rsidRDefault="0009154E" w:rsidP="00C037A5">
      <w:pPr>
        <w:numPr>
          <w:ilvl w:val="0"/>
          <w:numId w:val="17"/>
        </w:numPr>
        <w:spacing w:line="256" w:lineRule="auto"/>
        <w:rPr>
          <w:rFonts w:eastAsia="Times New Roman"/>
        </w:rPr>
      </w:pPr>
      <w:r w:rsidRPr="0009154E">
        <w:rPr>
          <w:rFonts w:eastAsia="Times New Roman"/>
        </w:rPr>
        <w:t>53000103</w:t>
      </w:r>
      <w:r>
        <w:rPr>
          <w:rFonts w:eastAsia="Times New Roman"/>
        </w:rPr>
        <w:t xml:space="preserve"> </w:t>
      </w:r>
      <w:r w:rsidR="00913E0C">
        <w:rPr>
          <w:rFonts w:eastAsia="Times New Roman"/>
        </w:rPr>
        <w:t>–</w:t>
      </w:r>
      <w:r>
        <w:rPr>
          <w:rFonts w:eastAsia="Times New Roman"/>
        </w:rPr>
        <w:t xml:space="preserve"> WELFARE</w:t>
      </w:r>
      <w:r w:rsidR="00913E0C">
        <w:rPr>
          <w:rFonts w:eastAsia="Times New Roman"/>
        </w:rPr>
        <w:t>*</w:t>
      </w:r>
    </w:p>
    <w:p w14:paraId="612A4EB4" w14:textId="6181592D" w:rsidR="00BB014D" w:rsidRDefault="00244AFA" w:rsidP="00C037A5">
      <w:pPr>
        <w:numPr>
          <w:ilvl w:val="0"/>
          <w:numId w:val="17"/>
        </w:numPr>
        <w:spacing w:line="256" w:lineRule="auto"/>
        <w:rPr>
          <w:rFonts w:eastAsia="Times New Roman"/>
        </w:rPr>
      </w:pPr>
      <w:r w:rsidRPr="00244AFA">
        <w:rPr>
          <w:rFonts w:eastAsia="Times New Roman"/>
        </w:rPr>
        <w:t>53000104</w:t>
      </w:r>
      <w:r>
        <w:rPr>
          <w:rFonts w:eastAsia="Times New Roman"/>
        </w:rPr>
        <w:t xml:space="preserve"> – BUONI PASTO</w:t>
      </w:r>
    </w:p>
    <w:p w14:paraId="286731D3" w14:textId="77777777" w:rsidR="00913E0C" w:rsidRDefault="00C037A5" w:rsidP="00161673">
      <w:r>
        <w:t>Non è consentito utilizzare altre nature oltre a quelle sopra indicate.</w:t>
      </w:r>
    </w:p>
    <w:p w14:paraId="035C9FEE" w14:textId="19EF4199" w:rsidR="00161673" w:rsidRDefault="00913E0C" w:rsidP="00161673">
      <w:r>
        <w:t>*</w:t>
      </w:r>
      <w:r w:rsidR="00F271B5">
        <w:t xml:space="preserve"> Una considerazione a parte andrà fatta riguardo al Welfare perché </w:t>
      </w:r>
      <w:r w:rsidR="001D7926">
        <w:t>oggi l</w:t>
      </w:r>
      <w:r w:rsidR="003F5535">
        <w:t>’erogazione attraverso la piattaforma Welbee non consente una destinazione della spesa sul singolo dipendente a consuntivo</w:t>
      </w:r>
    </w:p>
    <w:p w14:paraId="6C7F6F38" w14:textId="40399C6F" w:rsidR="00461556" w:rsidRDefault="00461556">
      <w:pPr>
        <w:keepNext/>
        <w:rPr>
          <w:kern w:val="0"/>
          <w14:ligatures w14:val="none"/>
        </w:rPr>
      </w:pPr>
      <w:r>
        <w:rPr>
          <w:rFonts w:ascii="Aptos Display" w:hAnsi="Aptos Display"/>
          <w:color w:val="0F4761"/>
          <w:sz w:val="32"/>
          <w:szCs w:val="32"/>
        </w:rPr>
        <w:t>Contabilità CO.GE</w:t>
      </w:r>
      <w:r w:rsidR="000C05B2">
        <w:rPr>
          <w:rFonts w:ascii="Aptos Display" w:hAnsi="Aptos Display"/>
          <w:color w:val="0F4761"/>
          <w:sz w:val="32"/>
          <w:szCs w:val="32"/>
        </w:rPr>
        <w:t xml:space="preserve"> e CO.AN</w:t>
      </w:r>
    </w:p>
    <w:p w14:paraId="6FDAB572" w14:textId="77777777" w:rsidR="00461556" w:rsidRDefault="00461556">
      <w:r>
        <w:t>Per quanto riguarda la contabilizzazione CO.GE e CO.AN dei costi del personale, si evidenziano alcune criticità operative. Attualmente, la registrazione viene effettuata dall’ufficio accounting tramite l’importazione mensile di file CSV. Tuttavia, l’applicativo di origine (Infinity) non gestisce le dimensioni di analisi indicate nel paragrafo precedente e tali aspetti non sono stati considerati nei successivi sviluppi. Di conseguenza, per tentare di ricostruire l’incrocio tra INSIEME, PRODOTTO, CENTRO DI COSTO e NATURA, viene adottato un metodo poco robusto basato sul match del codice fiscale del dipendente. Questa procedura comporta un carico di lavoro aggiuntivo e privo di reale valore per gli uffici coinvolti.</w:t>
      </w:r>
    </w:p>
    <w:p w14:paraId="1AA4B420" w14:textId="77777777" w:rsidR="007A542E" w:rsidRDefault="007A542E" w:rsidP="007A542E">
      <w:pPr>
        <w:keepNext/>
        <w:keepLines/>
        <w:spacing w:before="160" w:after="80"/>
        <w:outlineLvl w:val="1"/>
        <w:rPr>
          <w:rFonts w:asciiTheme="majorHAnsi" w:eastAsia="Times New Roman" w:hAnsiTheme="majorHAnsi" w:cstheme="majorBidi"/>
          <w:color w:val="0F4761" w:themeColor="accent1" w:themeShade="BF"/>
          <w:sz w:val="32"/>
          <w:szCs w:val="32"/>
        </w:rPr>
      </w:pPr>
    </w:p>
    <w:sectPr w:rsidR="007A542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4F7"/>
    <w:multiLevelType w:val="multilevel"/>
    <w:tmpl w:val="0A9A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46F06"/>
    <w:multiLevelType w:val="multilevel"/>
    <w:tmpl w:val="3256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9487F"/>
    <w:multiLevelType w:val="multilevel"/>
    <w:tmpl w:val="F9FE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F1E4A"/>
    <w:multiLevelType w:val="multilevel"/>
    <w:tmpl w:val="670A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A6850"/>
    <w:multiLevelType w:val="multilevel"/>
    <w:tmpl w:val="FECC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B7474"/>
    <w:multiLevelType w:val="multilevel"/>
    <w:tmpl w:val="D236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B0B5C"/>
    <w:multiLevelType w:val="hybridMultilevel"/>
    <w:tmpl w:val="064C12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0DA3F1B"/>
    <w:multiLevelType w:val="multilevel"/>
    <w:tmpl w:val="5E2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633AB"/>
    <w:multiLevelType w:val="multilevel"/>
    <w:tmpl w:val="B7EE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AF4FAE"/>
    <w:multiLevelType w:val="multilevel"/>
    <w:tmpl w:val="F9BA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F16E2"/>
    <w:multiLevelType w:val="multilevel"/>
    <w:tmpl w:val="18B4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044980"/>
    <w:multiLevelType w:val="multilevel"/>
    <w:tmpl w:val="DD18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3A0733"/>
    <w:multiLevelType w:val="multilevel"/>
    <w:tmpl w:val="AEAE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D17BC1"/>
    <w:multiLevelType w:val="multilevel"/>
    <w:tmpl w:val="CEC4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F83DEA"/>
    <w:multiLevelType w:val="multilevel"/>
    <w:tmpl w:val="FA24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937806"/>
    <w:multiLevelType w:val="hybridMultilevel"/>
    <w:tmpl w:val="920097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79B40DF"/>
    <w:multiLevelType w:val="multilevel"/>
    <w:tmpl w:val="C922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466445">
    <w:abstractNumId w:val="6"/>
  </w:num>
  <w:num w:numId="2" w16cid:durableId="1045955186">
    <w:abstractNumId w:val="15"/>
  </w:num>
  <w:num w:numId="3" w16cid:durableId="545876223">
    <w:abstractNumId w:val="7"/>
  </w:num>
  <w:num w:numId="4" w16cid:durableId="1859199084">
    <w:abstractNumId w:val="16"/>
  </w:num>
  <w:num w:numId="5" w16cid:durableId="1103839711">
    <w:abstractNumId w:val="5"/>
  </w:num>
  <w:num w:numId="6" w16cid:durableId="1566454275">
    <w:abstractNumId w:val="2"/>
  </w:num>
  <w:num w:numId="7" w16cid:durableId="1790272949">
    <w:abstractNumId w:val="4"/>
  </w:num>
  <w:num w:numId="8" w16cid:durableId="987250075">
    <w:abstractNumId w:val="11"/>
  </w:num>
  <w:num w:numId="9" w16cid:durableId="617106148">
    <w:abstractNumId w:val="12"/>
  </w:num>
  <w:num w:numId="10" w16cid:durableId="573008152">
    <w:abstractNumId w:val="3"/>
  </w:num>
  <w:num w:numId="11" w16cid:durableId="1555703444">
    <w:abstractNumId w:val="13"/>
  </w:num>
  <w:num w:numId="12" w16cid:durableId="775253750">
    <w:abstractNumId w:val="14"/>
  </w:num>
  <w:num w:numId="13" w16cid:durableId="922907537">
    <w:abstractNumId w:val="9"/>
  </w:num>
  <w:num w:numId="14" w16cid:durableId="1829903773">
    <w:abstractNumId w:val="1"/>
  </w:num>
  <w:num w:numId="15" w16cid:durableId="1641156407">
    <w:abstractNumId w:val="0"/>
  </w:num>
  <w:num w:numId="16" w16cid:durableId="895702803">
    <w:abstractNumId w:val="10"/>
  </w:num>
  <w:num w:numId="17" w16cid:durableId="9440019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3CC"/>
    <w:rsid w:val="00011CCF"/>
    <w:rsid w:val="00020291"/>
    <w:rsid w:val="0009154E"/>
    <w:rsid w:val="000C05B2"/>
    <w:rsid w:val="000F65A7"/>
    <w:rsid w:val="00161673"/>
    <w:rsid w:val="001653CC"/>
    <w:rsid w:val="001D7926"/>
    <w:rsid w:val="002123A9"/>
    <w:rsid w:val="00244AFA"/>
    <w:rsid w:val="0026033F"/>
    <w:rsid w:val="002B39CC"/>
    <w:rsid w:val="002C5F5E"/>
    <w:rsid w:val="003C5438"/>
    <w:rsid w:val="003F5535"/>
    <w:rsid w:val="00461556"/>
    <w:rsid w:val="005131A4"/>
    <w:rsid w:val="00543FC3"/>
    <w:rsid w:val="00557026"/>
    <w:rsid w:val="00622E5B"/>
    <w:rsid w:val="00646EF9"/>
    <w:rsid w:val="007A542E"/>
    <w:rsid w:val="00913E0C"/>
    <w:rsid w:val="00970489"/>
    <w:rsid w:val="009F34E5"/>
    <w:rsid w:val="00A67C75"/>
    <w:rsid w:val="00A7681C"/>
    <w:rsid w:val="00A8257B"/>
    <w:rsid w:val="00BB014D"/>
    <w:rsid w:val="00C037A5"/>
    <w:rsid w:val="00CD7427"/>
    <w:rsid w:val="00D21D62"/>
    <w:rsid w:val="00DA37B1"/>
    <w:rsid w:val="00DA6AA9"/>
    <w:rsid w:val="00E23083"/>
    <w:rsid w:val="00EC6400"/>
    <w:rsid w:val="00ED7CD4"/>
    <w:rsid w:val="00EF28DE"/>
    <w:rsid w:val="00F271B5"/>
    <w:rsid w:val="00F2725D"/>
    <w:rsid w:val="00F842BF"/>
    <w:rsid w:val="00FA708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2533C"/>
  <w15:chartTrackingRefBased/>
  <w15:docId w15:val="{9F9DEAF2-D109-475C-905B-388D926CA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olas" w:eastAsiaTheme="minorHAnsi" w:hAnsi="Consolas" w:cstheme="minorBidi"/>
        <w:kern w:val="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A542E"/>
  </w:style>
  <w:style w:type="paragraph" w:styleId="Titolo1">
    <w:name w:val="heading 1"/>
    <w:basedOn w:val="Normale"/>
    <w:next w:val="Normale"/>
    <w:link w:val="Titolo1Carattere"/>
    <w:uiPriority w:val="9"/>
    <w:qFormat/>
    <w:rsid w:val="001653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1653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1653C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653C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653CC"/>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1653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1653CC"/>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1653CC"/>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1653CC"/>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653C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1653C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653CC"/>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653CC"/>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1653CC"/>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1653CC"/>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1653CC"/>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1653CC"/>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1653CC"/>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165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653C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653C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653CC"/>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653C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653CC"/>
    <w:rPr>
      <w:i/>
      <w:iCs/>
      <w:color w:val="404040" w:themeColor="text1" w:themeTint="BF"/>
    </w:rPr>
  </w:style>
  <w:style w:type="paragraph" w:styleId="Paragrafoelenco">
    <w:name w:val="List Paragraph"/>
    <w:basedOn w:val="Normale"/>
    <w:uiPriority w:val="34"/>
    <w:qFormat/>
    <w:rsid w:val="001653CC"/>
    <w:pPr>
      <w:ind w:left="720"/>
      <w:contextualSpacing/>
    </w:pPr>
  </w:style>
  <w:style w:type="character" w:styleId="Enfasiintensa">
    <w:name w:val="Intense Emphasis"/>
    <w:basedOn w:val="Carpredefinitoparagrafo"/>
    <w:uiPriority w:val="21"/>
    <w:qFormat/>
    <w:rsid w:val="001653CC"/>
    <w:rPr>
      <w:i/>
      <w:iCs/>
      <w:color w:val="0F4761" w:themeColor="accent1" w:themeShade="BF"/>
    </w:rPr>
  </w:style>
  <w:style w:type="paragraph" w:styleId="Citazioneintensa">
    <w:name w:val="Intense Quote"/>
    <w:basedOn w:val="Normale"/>
    <w:next w:val="Normale"/>
    <w:link w:val="CitazioneintensaCarattere"/>
    <w:uiPriority w:val="30"/>
    <w:qFormat/>
    <w:rsid w:val="00165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653CC"/>
    <w:rPr>
      <w:i/>
      <w:iCs/>
      <w:color w:val="0F4761" w:themeColor="accent1" w:themeShade="BF"/>
    </w:rPr>
  </w:style>
  <w:style w:type="character" w:styleId="Riferimentointenso">
    <w:name w:val="Intense Reference"/>
    <w:basedOn w:val="Carpredefinitoparagrafo"/>
    <w:uiPriority w:val="32"/>
    <w:qFormat/>
    <w:rsid w:val="001653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474</Words>
  <Characters>2970</Characters>
  <Application>Microsoft Office Word</Application>
  <DocSecurity>0</DocSecurity>
  <Lines>61</Lines>
  <Paragraphs>35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Raffaele Fabbri</dc:creator>
  <cp:keywords/>
  <dc:description/>
  <cp:lastModifiedBy>Raffaele Fabbri</cp:lastModifiedBy>
  <cp:revision>31</cp:revision>
  <cp:lastPrinted>2026-02-06T09:06:00Z</cp:lastPrinted>
  <dcterms:created xsi:type="dcterms:W3CDTF">2026-02-06T08:15:00Z</dcterms:created>
  <dcterms:modified xsi:type="dcterms:W3CDTF">2026-02-16T09:26:00Z</dcterms:modified>
</cp:coreProperties>
</file>