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67B1" w14:textId="77777777" w:rsidR="00BE1229" w:rsidRDefault="00BE1229">
      <w:pPr>
        <w:pStyle w:val="Titolo"/>
        <w:rPr>
          <w:kern w:val="0"/>
          <w14:ligatures w14:val="none"/>
        </w:rPr>
      </w:pPr>
      <w:r>
        <w:t>Gestione e Struttura dei Processi Contabili e di Budgeting Camplus Iberica</w:t>
      </w:r>
    </w:p>
    <w:p w14:paraId="5F40ECE7" w14:textId="4F1E9D45" w:rsidR="00695537" w:rsidRDefault="00695537" w:rsidP="00695537">
      <w:pPr>
        <w:pStyle w:val="Titolo1"/>
        <w:rPr>
          <w:rFonts w:eastAsia="Times New Roman"/>
        </w:rPr>
      </w:pPr>
      <w:r>
        <w:rPr>
          <w:rFonts w:eastAsia="Times New Roman"/>
        </w:rPr>
        <w:t>Premessa</w:t>
      </w:r>
    </w:p>
    <w:p w14:paraId="23ECBBD9" w14:textId="7647E8F1" w:rsidR="00787744" w:rsidRDefault="00787744">
      <w:pPr>
        <w:rPr>
          <w:kern w:val="0"/>
          <w14:ligatures w14:val="none"/>
        </w:rPr>
      </w:pPr>
      <w:r>
        <w:t xml:space="preserve">Negli ultimi mesi, Camplus Iberica ha avviato una revisione delle logiche contabili e di budgeting, </w:t>
      </w:r>
      <w:r w:rsidR="004F6F2C">
        <w:t>so</w:t>
      </w:r>
      <w:r w:rsidR="00852223">
        <w:t>stituendo il piano dei conti per uniformarlo a quello di Harrison Street</w:t>
      </w:r>
      <w:r>
        <w:t xml:space="preserve">. Si è scelto di adottare una struttura più snella e funzionale rispetto al passato, superando il modello “Italia” per rispondere meglio alle specificità locali. In questa nuova impostazione, il coinvolgimento diretto dei colleghi spagnoli assume un ruolo centrale: la valorizzazione delle loro competenze e la semplificazione operativa </w:t>
      </w:r>
      <w:r w:rsidR="006652B9">
        <w:t xml:space="preserve">dovranno consentire </w:t>
      </w:r>
      <w:r>
        <w:t>una gestione più efficace e un’informativa tempestiva verso la casa madre, favorendo così un approccio maggiormente integrato e aderente alle esigenze del contesto iberico.</w:t>
      </w:r>
      <w:r w:rsidR="00CC68DA">
        <w:t xml:space="preserve"> In questo </w:t>
      </w:r>
      <w:proofErr w:type="gramStart"/>
      <w:r w:rsidR="00CC68DA">
        <w:t>senso tuttavia</w:t>
      </w:r>
      <w:proofErr w:type="gramEnd"/>
      <w:r w:rsidR="00CC68DA">
        <w:t xml:space="preserve"> ci troviamo di fronte a un anno zero.</w:t>
      </w:r>
    </w:p>
    <w:p w14:paraId="0CFFC35A" w14:textId="7359B11D" w:rsidR="00BE1229" w:rsidRDefault="00BE1229">
      <w:pPr>
        <w:pStyle w:val="Titolo1"/>
        <w:rPr>
          <w:rFonts w:eastAsia="Times New Roman"/>
        </w:rPr>
      </w:pPr>
      <w:r>
        <w:rPr>
          <w:rFonts w:eastAsia="Times New Roman"/>
        </w:rPr>
        <w:t>1. Struttura Analitica</w:t>
      </w:r>
    </w:p>
    <w:p w14:paraId="4AF60333" w14:textId="77777777" w:rsidR="00BE1229" w:rsidRDefault="00BE1229">
      <w:pPr>
        <w:rPr>
          <w:rFonts w:eastAsiaTheme="minorEastAsia"/>
        </w:rPr>
      </w:pPr>
      <w:r>
        <w:t>La struttura analitica di Camplus Iberica si articola su diversi livelli, fondamentali per una corretta gestione contabile e di reporting:</w:t>
      </w:r>
    </w:p>
    <w:p w14:paraId="5AE59B82" w14:textId="77777777" w:rsidR="00BE1229" w:rsidRDefault="00BE1229" w:rsidP="00BE1229">
      <w:pPr>
        <w:numPr>
          <w:ilvl w:val="0"/>
          <w:numId w:val="27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Conti di contabilità generale Camplus Iberica:</w:t>
      </w:r>
      <w:r>
        <w:rPr>
          <w:rFonts w:eastAsia="Times New Roman"/>
        </w:rPr>
        <w:t xml:space="preserve"> rappresentano la base della registrazione contabile.</w:t>
      </w:r>
    </w:p>
    <w:p w14:paraId="358BBE37" w14:textId="4F427DB4" w:rsidR="00BE1229" w:rsidRDefault="00BE1229" w:rsidP="00BE1229">
      <w:pPr>
        <w:numPr>
          <w:ilvl w:val="0"/>
          <w:numId w:val="27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Riclassifica dei conti:</w:t>
      </w:r>
      <w:r>
        <w:rPr>
          <w:rFonts w:eastAsia="Times New Roman"/>
        </w:rPr>
        <w:t xml:space="preserve"> i conti vengono suddivisi in </w:t>
      </w:r>
      <w:r w:rsidR="00327E20">
        <w:rPr>
          <w:rFonts w:eastAsia="Times New Roman"/>
        </w:rPr>
        <w:t xml:space="preserve">Mastri e </w:t>
      </w:r>
      <w:r>
        <w:rPr>
          <w:rFonts w:eastAsia="Times New Roman"/>
        </w:rPr>
        <w:t>classi specifiche, come Classe01 per i Ricavi, Classe02 per l’Ebitda, e così via, al fine di facilitare l'analisi e il controllo.</w:t>
      </w:r>
    </w:p>
    <w:p w14:paraId="4D0D24B6" w14:textId="77777777" w:rsidR="00BE1229" w:rsidRDefault="00BE1229" w:rsidP="00BE1229">
      <w:pPr>
        <w:numPr>
          <w:ilvl w:val="0"/>
          <w:numId w:val="27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Dimensione Insieme:</w:t>
      </w:r>
      <w:r>
        <w:rPr>
          <w:rFonts w:eastAsia="Times New Roman"/>
        </w:rPr>
        <w:t xml:space="preserve"> questa struttura consente di identificare le diverse sedi (ad esempio Pamplona, Sevilla, ecc.), permettendo una visione dettagliata delle performance per </w:t>
      </w:r>
      <w:proofErr w:type="gramStart"/>
      <w:r>
        <w:rPr>
          <w:rFonts w:eastAsia="Times New Roman"/>
        </w:rPr>
        <w:t>location</w:t>
      </w:r>
      <w:proofErr w:type="gramEnd"/>
      <w:r>
        <w:rPr>
          <w:rFonts w:eastAsia="Times New Roman"/>
        </w:rPr>
        <w:t>.</w:t>
      </w:r>
    </w:p>
    <w:p w14:paraId="0C464711" w14:textId="01E84622" w:rsidR="00BE1229" w:rsidRDefault="00BE1229">
      <w:pPr>
        <w:rPr>
          <w:rFonts w:eastAsiaTheme="minorEastAsia"/>
        </w:rPr>
      </w:pPr>
      <w:r>
        <w:t xml:space="preserve">Per la contabilizzazione dei costi del personale durante la fase di </w:t>
      </w:r>
      <w:r w:rsidR="00AA2410">
        <w:t xml:space="preserve">Budget e </w:t>
      </w:r>
      <w:r>
        <w:t>Forecast, sarà necessario utilizzare un conto globale dedicato al costo del personale, in quanto, nel piano dei conti attuale, tali costi sono attribuiti alla singola persona.</w:t>
      </w:r>
    </w:p>
    <w:p w14:paraId="7F210EB2" w14:textId="77777777" w:rsidR="00BE1229" w:rsidRDefault="00BE1229">
      <w:pPr>
        <w:pStyle w:val="Titolo1"/>
        <w:rPr>
          <w:rFonts w:eastAsia="Times New Roman"/>
        </w:rPr>
      </w:pPr>
      <w:r>
        <w:rPr>
          <w:rFonts w:eastAsia="Times New Roman"/>
        </w:rPr>
        <w:t>2. Flussi dei Movimenti Contabili</w:t>
      </w:r>
    </w:p>
    <w:p w14:paraId="323DB35B" w14:textId="77777777" w:rsidR="00BE1229" w:rsidRDefault="00BE1229">
      <w:pPr>
        <w:rPr>
          <w:rFonts w:eastAsiaTheme="minorEastAsia"/>
        </w:rPr>
      </w:pPr>
      <w:r>
        <w:t>I flussi di gestione contabile prevedono diverse modalità di importazione e controllo dei dati:</w:t>
      </w:r>
    </w:p>
    <w:p w14:paraId="04168B18" w14:textId="77777777" w:rsidR="00BE1229" w:rsidRDefault="00BE1229" w:rsidP="00BE1229">
      <w:pPr>
        <w:numPr>
          <w:ilvl w:val="0"/>
          <w:numId w:val="28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Contabilità:</w:t>
      </w:r>
      <w:r>
        <w:rPr>
          <w:rFonts w:eastAsia="Times New Roman"/>
        </w:rPr>
        <w:t xml:space="preserve"> i file Excel relativi ai movimenti contabili saranno importati mensilmente, inviati da Iberica o JDA entro una data prestabilita. È fondamentale verificare quali campi siano necessari e quali superflui, poiché il processo non è automatizzato e richiede l’intervento di operatori sia di JDA che della sede italiana.</w:t>
      </w:r>
    </w:p>
    <w:p w14:paraId="6FE2D3CF" w14:textId="0CBBA13C" w:rsidR="00BE1229" w:rsidRDefault="00BE1229" w:rsidP="00BE1229">
      <w:pPr>
        <w:numPr>
          <w:ilvl w:val="0"/>
          <w:numId w:val="28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Green Software:</w:t>
      </w:r>
      <w:r>
        <w:rPr>
          <w:rFonts w:eastAsia="Times New Roman"/>
        </w:rPr>
        <w:t xml:space="preserve"> vengono importati i dati relativi a produzione e occupazione. L’API è in fase di revisione e attualmente fornisce solo dati di produzione, senza includere dati di portafoglio. Sarà necessario allineare i dati con la struttura analitica, mantenendo il codice INSIEME coerente e assicurando che i ricavi siano sincronizzati con i nuovi conti di contabilità generale, anche per la trasmissione delle fatture a JDA.</w:t>
      </w:r>
    </w:p>
    <w:p w14:paraId="6BE49FF6" w14:textId="77777777" w:rsidR="00BE1229" w:rsidRDefault="00BE1229">
      <w:pPr>
        <w:pStyle w:val="Titolo1"/>
        <w:rPr>
          <w:rFonts w:eastAsia="Times New Roman"/>
        </w:rPr>
      </w:pPr>
      <w:r>
        <w:rPr>
          <w:rFonts w:eastAsia="Times New Roman"/>
        </w:rPr>
        <w:lastRenderedPageBreak/>
        <w:t>3. Attività di Budget</w:t>
      </w:r>
    </w:p>
    <w:p w14:paraId="3CD992A2" w14:textId="77777777" w:rsidR="00BE1229" w:rsidRDefault="00BE1229">
      <w:pPr>
        <w:rPr>
          <w:rFonts w:eastAsiaTheme="minorEastAsia"/>
        </w:rPr>
      </w:pPr>
      <w:r>
        <w:t>Le attività di budgeting prevedono l’utilizzo di strumenti e metodi specifici:</w:t>
      </w:r>
    </w:p>
    <w:p w14:paraId="01DB2AD8" w14:textId="77777777" w:rsidR="00BE1229" w:rsidRDefault="00BE1229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Strumento di lavoro principale: Formula Analytics.</w:t>
      </w:r>
    </w:p>
    <w:p w14:paraId="500759B7" w14:textId="77777777" w:rsidR="00BE1229" w:rsidRDefault="00BE1229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Utilizzo di fogli di calcolo che contabilizzano sui conti di contabilità generale iberica, seguendo il modello “Bononia”.</w:t>
      </w:r>
    </w:p>
    <w:p w14:paraId="450992A1" w14:textId="45E5E7C2" w:rsidR="00BE1229" w:rsidRDefault="00BE1229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I fogli di lavoro saranno orientati al</w:t>
      </w:r>
      <w:r w:rsidR="008E3A08">
        <w:rPr>
          <w:rFonts w:eastAsia="Times New Roman"/>
        </w:rPr>
        <w:t>la</w:t>
      </w:r>
      <w:r>
        <w:rPr>
          <w:rFonts w:eastAsia="Times New Roman"/>
        </w:rPr>
        <w:t xml:space="preserve"> singol</w:t>
      </w:r>
      <w:r w:rsidR="008E3A08">
        <w:rPr>
          <w:rFonts w:eastAsia="Times New Roman"/>
        </w:rPr>
        <w:t>a</w:t>
      </w:r>
      <w:r>
        <w:rPr>
          <w:rFonts w:eastAsia="Times New Roman"/>
        </w:rPr>
        <w:t xml:space="preserve"> </w:t>
      </w:r>
      <w:r w:rsidR="008E3A08">
        <w:rPr>
          <w:rFonts w:eastAsia="Times New Roman"/>
        </w:rPr>
        <w:t>struttura</w:t>
      </w:r>
      <w:r>
        <w:rPr>
          <w:rFonts w:eastAsia="Times New Roman"/>
        </w:rPr>
        <w:t xml:space="preserve"> e svilupperanno le proiezioni su un arco di 12 mesi.</w:t>
      </w:r>
    </w:p>
    <w:p w14:paraId="1B4B1078" w14:textId="5D178CDD" w:rsidR="00BE1229" w:rsidRDefault="00F776E2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Necessità di un</w:t>
      </w:r>
      <w:r w:rsidR="006259B0">
        <w:rPr>
          <w:rFonts w:eastAsia="Times New Roman"/>
        </w:rPr>
        <w:t xml:space="preserve"> conto</w:t>
      </w:r>
      <w:r w:rsidR="00BE1229">
        <w:rPr>
          <w:rFonts w:eastAsia="Times New Roman"/>
        </w:rPr>
        <w:t xml:space="preserve"> “calderone”</w:t>
      </w:r>
      <w:r w:rsidR="006259B0">
        <w:rPr>
          <w:rFonts w:eastAsia="Times New Roman"/>
        </w:rPr>
        <w:t xml:space="preserve"> per imputare i costi </w:t>
      </w:r>
      <w:r w:rsidR="008E3A08">
        <w:rPr>
          <w:rFonts w:eastAsia="Times New Roman"/>
        </w:rPr>
        <w:t>non significativi</w:t>
      </w:r>
      <w:r w:rsidR="00542D42">
        <w:rPr>
          <w:rFonts w:eastAsia="Times New Roman"/>
        </w:rPr>
        <w:t>, a tal proposito occorre decidere quali sono</w:t>
      </w:r>
      <w:r w:rsidR="00BE1229">
        <w:rPr>
          <w:rFonts w:eastAsia="Times New Roman"/>
        </w:rPr>
        <w:t>.</w:t>
      </w:r>
    </w:p>
    <w:p w14:paraId="29C3873D" w14:textId="77777777" w:rsidR="00BE1229" w:rsidRDefault="00BE1229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I ricavi saranno gestiti all’interno dello stesso foglio dedicato alla singola struttura.</w:t>
      </w:r>
    </w:p>
    <w:p w14:paraId="4D27F91D" w14:textId="77777777" w:rsidR="00BE1229" w:rsidRDefault="00BE1229" w:rsidP="00BE1229">
      <w:pPr>
        <w:numPr>
          <w:ilvl w:val="0"/>
          <w:numId w:val="29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Tempistiche: il budget sarà operativo per l’anno accademico 2026-2027, con una scadenza indicativa entro maggio 2025.</w:t>
      </w:r>
    </w:p>
    <w:p w14:paraId="118CB218" w14:textId="77777777" w:rsidR="00BE1229" w:rsidRDefault="00BE1229">
      <w:pPr>
        <w:pStyle w:val="Titolo1"/>
        <w:rPr>
          <w:rFonts w:eastAsia="Times New Roman"/>
        </w:rPr>
      </w:pPr>
      <w:r>
        <w:rPr>
          <w:rFonts w:eastAsia="Times New Roman"/>
        </w:rPr>
        <w:t>4. Attività di Forecast</w:t>
      </w:r>
    </w:p>
    <w:p w14:paraId="5D98ED0D" w14:textId="77777777" w:rsidR="00BE1229" w:rsidRDefault="00BE1229">
      <w:pPr>
        <w:rPr>
          <w:rFonts w:eastAsiaTheme="minorEastAsia"/>
        </w:rPr>
      </w:pPr>
      <w:r>
        <w:t>La fase di forecast segue una logica simile a quella del budget, con alcune specificità:</w:t>
      </w:r>
    </w:p>
    <w:p w14:paraId="4ECAFD9D" w14:textId="77777777" w:rsidR="00BE1229" w:rsidRDefault="00BE1229" w:rsidP="00BE1229">
      <w:pPr>
        <w:numPr>
          <w:ilvl w:val="0"/>
          <w:numId w:val="3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Strumento di lavoro: Formula Analytics.</w:t>
      </w:r>
    </w:p>
    <w:p w14:paraId="5C704D78" w14:textId="77777777" w:rsidR="00BE1229" w:rsidRDefault="00BE1229" w:rsidP="00BE1229">
      <w:pPr>
        <w:numPr>
          <w:ilvl w:val="0"/>
          <w:numId w:val="3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Utilizzo di fogli di calcolo analoghi a quelli del budget.</w:t>
      </w:r>
    </w:p>
    <w:p w14:paraId="5B58E1D6" w14:textId="77777777" w:rsidR="00BE1229" w:rsidRDefault="00BE1229" w:rsidP="00BE1229">
      <w:pPr>
        <w:numPr>
          <w:ilvl w:val="0"/>
          <w:numId w:val="3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Sulle linee dei fogli compariranno i dati dell’anno precedente, il budget, i dati effettivi (</w:t>
      </w:r>
      <w:proofErr w:type="spellStart"/>
      <w:r>
        <w:rPr>
          <w:rFonts w:eastAsia="Times New Roman"/>
        </w:rPr>
        <w:t>actual</w:t>
      </w:r>
      <w:proofErr w:type="spellEnd"/>
      <w:r>
        <w:rPr>
          <w:rFonts w:eastAsia="Times New Roman"/>
        </w:rPr>
        <w:t>) e le proiezioni di forecast.</w:t>
      </w:r>
    </w:p>
    <w:p w14:paraId="7BDCC87F" w14:textId="77777777" w:rsidR="00BE1229" w:rsidRDefault="00BE1229" w:rsidP="00BE1229">
      <w:pPr>
        <w:numPr>
          <w:ilvl w:val="0"/>
          <w:numId w:val="30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Tempistiche: il metodo sarà operativo da ottobre 2026.</w:t>
      </w:r>
    </w:p>
    <w:p w14:paraId="6004B6B5" w14:textId="77777777" w:rsidR="00BE1229" w:rsidRDefault="00BE1229">
      <w:pPr>
        <w:pStyle w:val="Titolo1"/>
        <w:rPr>
          <w:rFonts w:eastAsia="Times New Roman"/>
        </w:rPr>
      </w:pPr>
      <w:r>
        <w:rPr>
          <w:rFonts w:eastAsia="Times New Roman"/>
        </w:rPr>
        <w:t>5. Fatturazione e Proprietà dei Processi</w:t>
      </w:r>
    </w:p>
    <w:p w14:paraId="2FE22049" w14:textId="77777777" w:rsidR="00BE1229" w:rsidRDefault="00BE1229" w:rsidP="00BE1229">
      <w:pPr>
        <w:numPr>
          <w:ilvl w:val="0"/>
          <w:numId w:val="31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È prevista l’eliminazione della gestione delle fatture esterne, che verrà sostituita dalla fatturazione elettronica.</w:t>
      </w:r>
    </w:p>
    <w:p w14:paraId="10FD64E4" w14:textId="77777777" w:rsidR="00BE1229" w:rsidRDefault="00BE1229" w:rsidP="00BE1229">
      <w:pPr>
        <w:numPr>
          <w:ilvl w:val="0"/>
          <w:numId w:val="31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La proprietà dei processi è attribuita a Camplus Iberica.</w:t>
      </w:r>
    </w:p>
    <w:p w14:paraId="3B43926F" w14:textId="77777777" w:rsidR="00DD65AC" w:rsidRDefault="00DD65AC" w:rsidP="00DD65AC">
      <w:pPr>
        <w:spacing w:line="256" w:lineRule="auto"/>
        <w:rPr>
          <w:rFonts w:eastAsia="Times New Roman"/>
        </w:rPr>
      </w:pPr>
    </w:p>
    <w:p w14:paraId="27F26AE8" w14:textId="77777777" w:rsidR="00DC15D1" w:rsidRDefault="00DC15D1" w:rsidP="00DD65AC">
      <w:pPr>
        <w:spacing w:line="256" w:lineRule="auto"/>
        <w:rPr>
          <w:rFonts w:eastAsia="Times New Roman"/>
        </w:rPr>
      </w:pPr>
    </w:p>
    <w:sectPr w:rsidR="00DC15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D98"/>
    <w:multiLevelType w:val="multilevel"/>
    <w:tmpl w:val="FF0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B47"/>
    <w:multiLevelType w:val="multilevel"/>
    <w:tmpl w:val="DC7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F00"/>
    <w:multiLevelType w:val="multilevel"/>
    <w:tmpl w:val="025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71C79"/>
    <w:multiLevelType w:val="multilevel"/>
    <w:tmpl w:val="048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11AB"/>
    <w:multiLevelType w:val="multilevel"/>
    <w:tmpl w:val="EE6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12D2C"/>
    <w:multiLevelType w:val="multilevel"/>
    <w:tmpl w:val="6DA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9C2"/>
    <w:multiLevelType w:val="multilevel"/>
    <w:tmpl w:val="ADB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A51A8"/>
    <w:multiLevelType w:val="multilevel"/>
    <w:tmpl w:val="E0C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C1609"/>
    <w:multiLevelType w:val="multilevel"/>
    <w:tmpl w:val="063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15429"/>
    <w:multiLevelType w:val="multilevel"/>
    <w:tmpl w:val="E2B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5D88"/>
    <w:multiLevelType w:val="multilevel"/>
    <w:tmpl w:val="0EF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83197"/>
    <w:multiLevelType w:val="multilevel"/>
    <w:tmpl w:val="7C1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068AB"/>
    <w:multiLevelType w:val="multilevel"/>
    <w:tmpl w:val="6D7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6094C"/>
    <w:multiLevelType w:val="multilevel"/>
    <w:tmpl w:val="91B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317BA"/>
    <w:multiLevelType w:val="multilevel"/>
    <w:tmpl w:val="C48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42AA6"/>
    <w:multiLevelType w:val="multilevel"/>
    <w:tmpl w:val="9DD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B7E52"/>
    <w:multiLevelType w:val="multilevel"/>
    <w:tmpl w:val="AEF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95E00"/>
    <w:multiLevelType w:val="multilevel"/>
    <w:tmpl w:val="C65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32E74"/>
    <w:multiLevelType w:val="hybridMultilevel"/>
    <w:tmpl w:val="9E4C37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007B3D"/>
    <w:multiLevelType w:val="multilevel"/>
    <w:tmpl w:val="362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567AC"/>
    <w:multiLevelType w:val="hybridMultilevel"/>
    <w:tmpl w:val="0BF4DA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51FFE"/>
    <w:multiLevelType w:val="multilevel"/>
    <w:tmpl w:val="30A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E4A05"/>
    <w:multiLevelType w:val="multilevel"/>
    <w:tmpl w:val="A8D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7345D"/>
    <w:multiLevelType w:val="multilevel"/>
    <w:tmpl w:val="45C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F3DD6"/>
    <w:multiLevelType w:val="multilevel"/>
    <w:tmpl w:val="E7E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275E7"/>
    <w:multiLevelType w:val="multilevel"/>
    <w:tmpl w:val="01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C6E17"/>
    <w:multiLevelType w:val="multilevel"/>
    <w:tmpl w:val="6B00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44B1E"/>
    <w:multiLevelType w:val="multilevel"/>
    <w:tmpl w:val="0B5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D69A5"/>
    <w:multiLevelType w:val="multilevel"/>
    <w:tmpl w:val="622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76C50"/>
    <w:multiLevelType w:val="hybridMultilevel"/>
    <w:tmpl w:val="0304F8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54AB3"/>
    <w:multiLevelType w:val="multilevel"/>
    <w:tmpl w:val="0CA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D1470"/>
    <w:multiLevelType w:val="multilevel"/>
    <w:tmpl w:val="8F46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13A61"/>
    <w:multiLevelType w:val="multilevel"/>
    <w:tmpl w:val="967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F7F8F"/>
    <w:multiLevelType w:val="multilevel"/>
    <w:tmpl w:val="D2F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859CA"/>
    <w:multiLevelType w:val="multilevel"/>
    <w:tmpl w:val="E0D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5278D"/>
    <w:multiLevelType w:val="multilevel"/>
    <w:tmpl w:val="2D9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C65FF"/>
    <w:multiLevelType w:val="multilevel"/>
    <w:tmpl w:val="551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D415C"/>
    <w:multiLevelType w:val="hybridMultilevel"/>
    <w:tmpl w:val="3DDED1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24D63"/>
    <w:multiLevelType w:val="multilevel"/>
    <w:tmpl w:val="253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E75DA"/>
    <w:multiLevelType w:val="multilevel"/>
    <w:tmpl w:val="0618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F56D10"/>
    <w:multiLevelType w:val="multilevel"/>
    <w:tmpl w:val="B8A4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C283E"/>
    <w:multiLevelType w:val="multilevel"/>
    <w:tmpl w:val="F89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C4D83"/>
    <w:multiLevelType w:val="multilevel"/>
    <w:tmpl w:val="E51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9212D"/>
    <w:multiLevelType w:val="multilevel"/>
    <w:tmpl w:val="CEF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00258">
    <w:abstractNumId w:val="18"/>
  </w:num>
  <w:num w:numId="2" w16cid:durableId="564686070">
    <w:abstractNumId w:val="37"/>
  </w:num>
  <w:num w:numId="3" w16cid:durableId="668873813">
    <w:abstractNumId w:val="29"/>
  </w:num>
  <w:num w:numId="4" w16cid:durableId="1111364923">
    <w:abstractNumId w:val="20"/>
  </w:num>
  <w:num w:numId="5" w16cid:durableId="1944414927">
    <w:abstractNumId w:val="42"/>
  </w:num>
  <w:num w:numId="6" w16cid:durableId="1819610150">
    <w:abstractNumId w:val="33"/>
  </w:num>
  <w:num w:numId="7" w16cid:durableId="247889787">
    <w:abstractNumId w:val="16"/>
  </w:num>
  <w:num w:numId="8" w16cid:durableId="1926571281">
    <w:abstractNumId w:val="11"/>
  </w:num>
  <w:num w:numId="9" w16cid:durableId="453476145">
    <w:abstractNumId w:val="7"/>
  </w:num>
  <w:num w:numId="10" w16cid:durableId="1466847844">
    <w:abstractNumId w:val="12"/>
  </w:num>
  <w:num w:numId="11" w16cid:durableId="2083092313">
    <w:abstractNumId w:val="13"/>
  </w:num>
  <w:num w:numId="12" w16cid:durableId="2083719574">
    <w:abstractNumId w:val="41"/>
  </w:num>
  <w:num w:numId="13" w16cid:durableId="165898851">
    <w:abstractNumId w:val="1"/>
  </w:num>
  <w:num w:numId="14" w16cid:durableId="1099760446">
    <w:abstractNumId w:val="9"/>
  </w:num>
  <w:num w:numId="15" w16cid:durableId="1002928521">
    <w:abstractNumId w:val="19"/>
  </w:num>
  <w:num w:numId="16" w16cid:durableId="1344745844">
    <w:abstractNumId w:val="0"/>
  </w:num>
  <w:num w:numId="17" w16cid:durableId="599223393">
    <w:abstractNumId w:val="36"/>
  </w:num>
  <w:num w:numId="18" w16cid:durableId="739330144">
    <w:abstractNumId w:val="38"/>
  </w:num>
  <w:num w:numId="19" w16cid:durableId="635835672">
    <w:abstractNumId w:val="35"/>
  </w:num>
  <w:num w:numId="20" w16cid:durableId="414397765">
    <w:abstractNumId w:val="26"/>
  </w:num>
  <w:num w:numId="21" w16cid:durableId="1798256114">
    <w:abstractNumId w:val="22"/>
  </w:num>
  <w:num w:numId="22" w16cid:durableId="1324771973">
    <w:abstractNumId w:val="2"/>
  </w:num>
  <w:num w:numId="23" w16cid:durableId="385181402">
    <w:abstractNumId w:val="8"/>
  </w:num>
  <w:num w:numId="24" w16cid:durableId="384112221">
    <w:abstractNumId w:val="25"/>
  </w:num>
  <w:num w:numId="25" w16cid:durableId="1934822237">
    <w:abstractNumId w:val="15"/>
  </w:num>
  <w:num w:numId="26" w16cid:durableId="1124229359">
    <w:abstractNumId w:val="30"/>
  </w:num>
  <w:num w:numId="27" w16cid:durableId="310408152">
    <w:abstractNumId w:val="3"/>
  </w:num>
  <w:num w:numId="28" w16cid:durableId="133910175">
    <w:abstractNumId w:val="4"/>
  </w:num>
  <w:num w:numId="29" w16cid:durableId="209146112">
    <w:abstractNumId w:val="39"/>
  </w:num>
  <w:num w:numId="30" w16cid:durableId="1595699505">
    <w:abstractNumId w:val="32"/>
  </w:num>
  <w:num w:numId="31" w16cid:durableId="51582664">
    <w:abstractNumId w:val="23"/>
  </w:num>
  <w:num w:numId="32" w16cid:durableId="1612007416">
    <w:abstractNumId w:val="27"/>
  </w:num>
  <w:num w:numId="33" w16cid:durableId="649870453">
    <w:abstractNumId w:val="24"/>
  </w:num>
  <w:num w:numId="34" w16cid:durableId="708333292">
    <w:abstractNumId w:val="43"/>
  </w:num>
  <w:num w:numId="35" w16cid:durableId="1972437806">
    <w:abstractNumId w:val="10"/>
  </w:num>
  <w:num w:numId="36" w16cid:durableId="2041737604">
    <w:abstractNumId w:val="21"/>
  </w:num>
  <w:num w:numId="37" w16cid:durableId="2065326484">
    <w:abstractNumId w:val="34"/>
  </w:num>
  <w:num w:numId="38" w16cid:durableId="782186393">
    <w:abstractNumId w:val="40"/>
  </w:num>
  <w:num w:numId="39" w16cid:durableId="975329729">
    <w:abstractNumId w:val="31"/>
  </w:num>
  <w:num w:numId="40" w16cid:durableId="1962807919">
    <w:abstractNumId w:val="6"/>
  </w:num>
  <w:num w:numId="41" w16cid:durableId="1123303069">
    <w:abstractNumId w:val="28"/>
  </w:num>
  <w:num w:numId="42" w16cid:durableId="1725835451">
    <w:abstractNumId w:val="14"/>
  </w:num>
  <w:num w:numId="43" w16cid:durableId="1709915593">
    <w:abstractNumId w:val="5"/>
  </w:num>
  <w:num w:numId="44" w16cid:durableId="5713507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A9"/>
    <w:rsid w:val="00050EFB"/>
    <w:rsid w:val="00206FEC"/>
    <w:rsid w:val="002123A9"/>
    <w:rsid w:val="0026033F"/>
    <w:rsid w:val="00326105"/>
    <w:rsid w:val="00327E20"/>
    <w:rsid w:val="003643D0"/>
    <w:rsid w:val="004C60D7"/>
    <w:rsid w:val="004F6F2C"/>
    <w:rsid w:val="00542D42"/>
    <w:rsid w:val="00622E5B"/>
    <w:rsid w:val="006259B0"/>
    <w:rsid w:val="00632AA5"/>
    <w:rsid w:val="006652B9"/>
    <w:rsid w:val="00695537"/>
    <w:rsid w:val="006B35A9"/>
    <w:rsid w:val="00714C10"/>
    <w:rsid w:val="00787744"/>
    <w:rsid w:val="00817AF0"/>
    <w:rsid w:val="00852223"/>
    <w:rsid w:val="008E3A08"/>
    <w:rsid w:val="009008C8"/>
    <w:rsid w:val="00902C75"/>
    <w:rsid w:val="00AA2410"/>
    <w:rsid w:val="00B176F9"/>
    <w:rsid w:val="00B404EA"/>
    <w:rsid w:val="00B9327D"/>
    <w:rsid w:val="00BE1229"/>
    <w:rsid w:val="00CB0F9B"/>
    <w:rsid w:val="00CC540E"/>
    <w:rsid w:val="00CC68DA"/>
    <w:rsid w:val="00CD7427"/>
    <w:rsid w:val="00CF1AFB"/>
    <w:rsid w:val="00DA37B1"/>
    <w:rsid w:val="00DB743F"/>
    <w:rsid w:val="00DC15D1"/>
    <w:rsid w:val="00DD65AC"/>
    <w:rsid w:val="00E7754A"/>
    <w:rsid w:val="00EC6400"/>
    <w:rsid w:val="00F776E2"/>
    <w:rsid w:val="00F8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B250"/>
  <w15:chartTrackingRefBased/>
  <w15:docId w15:val="{EA88B75D-FBA9-4AA8-BABC-37E87F19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5537"/>
  </w:style>
  <w:style w:type="paragraph" w:styleId="Titolo1">
    <w:name w:val="heading 1"/>
    <w:basedOn w:val="Normale"/>
    <w:next w:val="Normale"/>
    <w:link w:val="Titolo1Carattere"/>
    <w:uiPriority w:val="9"/>
    <w:qFormat/>
    <w:rsid w:val="006B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B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35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3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3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35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35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35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35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B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35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35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35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35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35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35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35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35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35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35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35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35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35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3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578</Words>
  <Characters>3393</Characters>
  <Application>Microsoft Office Word</Application>
  <DocSecurity>0</DocSecurity>
  <Lines>66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28</cp:revision>
  <cp:lastPrinted>2026-02-11T08:28:00Z</cp:lastPrinted>
  <dcterms:created xsi:type="dcterms:W3CDTF">2026-02-04T11:33:00Z</dcterms:created>
  <dcterms:modified xsi:type="dcterms:W3CDTF">2026-02-11T08:29:00Z</dcterms:modified>
</cp:coreProperties>
</file>