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327C" w14:textId="49353532" w:rsidR="000061C4" w:rsidRPr="00EA62EB" w:rsidRDefault="00EA62EB" w:rsidP="00EA62EB">
      <w:pPr>
        <w:pStyle w:val="Titolo"/>
        <w:jc w:val="center"/>
        <w:rPr>
          <w:rFonts w:ascii="Consolas" w:hAnsi="Consolas"/>
          <w:sz w:val="44"/>
          <w:szCs w:val="44"/>
          <w:u w:val="single"/>
        </w:rPr>
      </w:pPr>
      <w:r>
        <w:rPr>
          <w:rFonts w:ascii="Consolas" w:hAnsi="Consolas"/>
          <w:sz w:val="44"/>
          <w:szCs w:val="44"/>
          <w:u w:val="single"/>
        </w:rPr>
        <w:t>Forecast</w:t>
      </w:r>
      <w:r w:rsidR="002B2FEA">
        <w:rPr>
          <w:rFonts w:ascii="Consolas" w:hAnsi="Consolas"/>
          <w:sz w:val="44"/>
          <w:szCs w:val="44"/>
          <w:u w:val="single"/>
        </w:rPr>
        <w:t>:</w:t>
      </w:r>
      <w:r>
        <w:rPr>
          <w:rFonts w:ascii="Consolas" w:hAnsi="Consolas"/>
          <w:sz w:val="44"/>
          <w:szCs w:val="44"/>
          <w:u w:val="single"/>
        </w:rPr>
        <w:t xml:space="preserve"> </w:t>
      </w:r>
      <w:r w:rsidR="002B2FEA">
        <w:rPr>
          <w:rFonts w:ascii="Consolas" w:hAnsi="Consolas"/>
          <w:sz w:val="44"/>
          <w:szCs w:val="44"/>
          <w:u w:val="single"/>
        </w:rPr>
        <w:t>s</w:t>
      </w:r>
      <w:r w:rsidR="000061C4" w:rsidRPr="00EA62EB">
        <w:rPr>
          <w:rFonts w:ascii="Consolas" w:hAnsi="Consolas"/>
          <w:sz w:val="44"/>
          <w:szCs w:val="44"/>
          <w:u w:val="single"/>
        </w:rPr>
        <w:t>truttura della presentazione</w:t>
      </w:r>
    </w:p>
    <w:p w14:paraId="75A5D31B" w14:textId="77777777" w:rsidR="000061C4" w:rsidRDefault="000061C4" w:rsidP="000061C4">
      <w:pPr>
        <w:rPr>
          <w:rFonts w:ascii="Consolas" w:hAnsi="Consolas"/>
        </w:rPr>
      </w:pPr>
    </w:p>
    <w:p w14:paraId="32235AA5" w14:textId="77777777" w:rsidR="002253A0" w:rsidRPr="002253A0" w:rsidRDefault="002253A0" w:rsidP="000061C4">
      <w:pPr>
        <w:rPr>
          <w:rFonts w:ascii="Consolas" w:hAnsi="Consolas"/>
        </w:rPr>
      </w:pPr>
    </w:p>
    <w:tbl>
      <w:tblPr>
        <w:tblW w:w="84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060"/>
      </w:tblGrid>
      <w:tr w:rsidR="000061C4" w:rsidRPr="000061C4" w14:paraId="2C8D8642" w14:textId="77777777" w:rsidTr="00EA62E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96B24" w:themeFill="accent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0A140" w14:textId="0B75D3DD" w:rsidR="000061C4" w:rsidRPr="000061C4" w:rsidRDefault="000061C4" w:rsidP="00137705">
            <w:pPr>
              <w:rPr>
                <w:rFonts w:ascii="Consolas" w:hAnsi="Consolas"/>
              </w:rPr>
            </w:pPr>
          </w:p>
        </w:tc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96B24" w:themeFill="accent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570A90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b/>
                <w:bCs/>
                <w:color w:val="FFFFFF"/>
                <w:sz w:val="20"/>
                <w:szCs w:val="20"/>
              </w:rPr>
              <w:t>Sezione</w:t>
            </w:r>
          </w:p>
        </w:tc>
        <w:tc>
          <w:tcPr>
            <w:tcW w:w="50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96B24" w:themeFill="accent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D08F5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b/>
                <w:bCs/>
                <w:color w:val="FFFFFF"/>
                <w:sz w:val="20"/>
                <w:szCs w:val="20"/>
              </w:rPr>
              <w:t>Contenuto</w:t>
            </w:r>
          </w:p>
        </w:tc>
      </w:tr>
      <w:tr w:rsidR="000061C4" w:rsidRPr="000061C4" w14:paraId="54E97617" w14:textId="77777777" w:rsidTr="00EA62E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450FE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3F0E6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Apertura e contesto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D6C1D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Cos’è FC3, il ciclo dei 4 forecast annuali, perimetro del gruppo (5 ragioni sociali, dati consolidati)</w:t>
            </w:r>
          </w:p>
        </w:tc>
      </w:tr>
      <w:tr w:rsidR="000061C4" w:rsidRPr="000061C4" w14:paraId="0506B229" w14:textId="77777777" w:rsidTr="00EA62E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43D3B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DB0FC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Headline KPI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BA85D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Dashboard: Occupancy%, ADR, RevPAR, GOPPAR, EBITDApar — per camera disponibile, confronto Budget / FC1 / FC2 / AA precedente</w:t>
            </w:r>
          </w:p>
        </w:tc>
      </w:tr>
      <w:tr w:rsidR="000061C4" w:rsidRPr="000061C4" w14:paraId="1D5E5B4B" w14:textId="77777777" w:rsidTr="00EA62E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D6F1C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C896B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Risultati economici attesi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0BEA4" w14:textId="5AA9243E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Ricavi, Costi operativi (Prodotto, 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pese generali</w:t>
            </w: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, Manutenzione, Altri), EBITDA consolidato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e Cash Flow</w:t>
            </w:r>
          </w:p>
        </w:tc>
      </w:tr>
      <w:tr w:rsidR="000061C4" w:rsidRPr="000061C4" w14:paraId="6F71B13C" w14:textId="77777777" w:rsidTr="00EA62E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10B30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76FA18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Analisi scostamenti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53366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Ponte Budget → FC1 → FC2 → FC3 su Ricavi ed EBITDA; collegamento KPI ↔ Conto Economico</w:t>
            </w:r>
          </w:p>
        </w:tc>
      </w:tr>
      <w:tr w:rsidR="000061C4" w:rsidRPr="000061C4" w14:paraId="083077B1" w14:textId="77777777" w:rsidTr="00EA62E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93B30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08BF6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Aree di attenzione e alert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62905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Strutture o voci con scostamenti rilevanti, rischi residui, eventuali azioni correttive in corso</w:t>
            </w:r>
          </w:p>
        </w:tc>
      </w:tr>
      <w:tr w:rsidR="000061C4" w:rsidRPr="000061C4" w14:paraId="53731089" w14:textId="77777777" w:rsidTr="00EA62E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C70BB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D8EF3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Conclusioni e prossimi passi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1D205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Sintesi messaggi chiave, tempistica FC4</w:t>
            </w:r>
          </w:p>
        </w:tc>
      </w:tr>
    </w:tbl>
    <w:p w14:paraId="004E4864" w14:textId="25E04999" w:rsidR="000061C4" w:rsidRPr="000061C4" w:rsidRDefault="000061C4" w:rsidP="000061C4">
      <w:pPr>
        <w:rPr>
          <w:rFonts w:ascii="Consolas" w:hAnsi="Consolas"/>
        </w:rPr>
      </w:pPr>
    </w:p>
    <w:tbl>
      <w:tblPr>
        <w:tblW w:w="84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060"/>
      </w:tblGrid>
      <w:tr w:rsidR="000061C4" w:rsidRPr="000061C4" w14:paraId="66E842AC" w14:textId="77777777" w:rsidTr="00EA62E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96B24" w:themeFill="accent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83A66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96B24" w:themeFill="accent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550FF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30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96B24" w:themeFill="accent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0F65D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b/>
                <w:bCs/>
                <w:color w:val="FFFFFF"/>
                <w:sz w:val="20"/>
                <w:szCs w:val="20"/>
              </w:rPr>
              <w:t>Benchmark di confronto</w:t>
            </w:r>
          </w:p>
        </w:tc>
      </w:tr>
      <w:tr w:rsidR="000061C4" w:rsidRPr="000061C4" w14:paraId="28A37C46" w14:textId="77777777" w:rsidTr="00EA62E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2A81B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Occupancy %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081C07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Tasso di occupazione per camera disponibile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81B14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Budget / FC1 / FC2 / AA 24-25</w:t>
            </w:r>
          </w:p>
        </w:tc>
      </w:tr>
      <w:tr w:rsidR="000061C4" w:rsidRPr="000061C4" w14:paraId="19E742E2" w14:textId="77777777" w:rsidTr="00EA62E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35123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ADR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C7F0A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Average Daily Rate — ricavo medio per camera occupata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25582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Budget / FC1 / FC2 / AA 24-25</w:t>
            </w:r>
          </w:p>
        </w:tc>
      </w:tr>
      <w:tr w:rsidR="000061C4" w:rsidRPr="000061C4" w14:paraId="1CE825AD" w14:textId="77777777" w:rsidTr="00EA62E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D85BB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RevPAR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04887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Revenue per Available Room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B249C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Budget / FC1 / FC2 / AA 24-25</w:t>
            </w:r>
          </w:p>
        </w:tc>
      </w:tr>
      <w:tr w:rsidR="000061C4" w:rsidRPr="000061C4" w14:paraId="6F089C8B" w14:textId="77777777" w:rsidTr="00EA62E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A2FBF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GOPPAR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67A51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Gross Operating Profit per Available Room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F5DA7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Budget / FC1 / FC2 / AA 24-25</w:t>
            </w:r>
          </w:p>
        </w:tc>
      </w:tr>
      <w:tr w:rsidR="000061C4" w:rsidRPr="000061C4" w14:paraId="576EDEE2" w14:textId="77777777" w:rsidTr="00EA62E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A6846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EBITDApar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F0EEF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EBITDA per camera disponibile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CC7EE" w14:textId="77777777" w:rsidR="000061C4" w:rsidRPr="000061C4" w:rsidRDefault="000061C4" w:rsidP="00137705">
            <w:pPr>
              <w:rPr>
                <w:rFonts w:ascii="Consolas" w:hAnsi="Consolas"/>
              </w:rPr>
            </w:pPr>
            <w:r w:rsidRPr="000061C4">
              <w:rPr>
                <w:rFonts w:ascii="Consolas" w:hAnsi="Consolas"/>
                <w:color w:val="000000"/>
                <w:sz w:val="20"/>
                <w:szCs w:val="20"/>
              </w:rPr>
              <w:t>Budget / FC1 / FC2 / AA 24-25</w:t>
            </w:r>
          </w:p>
        </w:tc>
      </w:tr>
    </w:tbl>
    <w:p w14:paraId="536973BE" w14:textId="77777777" w:rsidR="000061C4" w:rsidRPr="000061C4" w:rsidRDefault="000061C4" w:rsidP="000061C4">
      <w:pPr>
        <w:rPr>
          <w:rFonts w:ascii="Consolas" w:hAnsi="Consolas"/>
        </w:rPr>
      </w:pPr>
    </w:p>
    <w:p w14:paraId="6250DE60" w14:textId="77777777" w:rsidR="0061671D" w:rsidRDefault="0061671D"/>
    <w:sectPr w:rsidR="006167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C4"/>
    <w:rsid w:val="000061C4"/>
    <w:rsid w:val="0002110F"/>
    <w:rsid w:val="000E4523"/>
    <w:rsid w:val="002253A0"/>
    <w:rsid w:val="002B2FEA"/>
    <w:rsid w:val="0061671D"/>
    <w:rsid w:val="008D63F3"/>
    <w:rsid w:val="00986FD4"/>
    <w:rsid w:val="00EA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F6B01"/>
  <w15:chartTrackingRefBased/>
  <w15:docId w15:val="{6328D3C8-E067-4D63-82B4-3FD87583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061C4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0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0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06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0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06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061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061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061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061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06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06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06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061C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061C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061C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061C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061C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061C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061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0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0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0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0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061C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061C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061C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06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061C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06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181</Words>
  <Characters>1026</Characters>
  <Application>Microsoft Office Word</Application>
  <DocSecurity>0</DocSecurity>
  <Lines>54</Lines>
  <Paragraphs>44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Fabbri</dc:creator>
  <cp:keywords/>
  <dc:description/>
  <cp:lastModifiedBy>Raffaele Fabbri</cp:lastModifiedBy>
  <cp:revision>5</cp:revision>
  <cp:lastPrinted>2026-05-26T16:20:00Z</cp:lastPrinted>
  <dcterms:created xsi:type="dcterms:W3CDTF">2026-05-26T16:10:00Z</dcterms:created>
  <dcterms:modified xsi:type="dcterms:W3CDTF">2026-05-26T16:21:00Z</dcterms:modified>
</cp:coreProperties>
</file>