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F84BF" w14:textId="71881B58" w:rsidR="00024CFE" w:rsidRPr="00024CFE" w:rsidRDefault="00024CFE" w:rsidP="00024CFE">
      <w:pPr>
        <w:rPr>
          <w:sz w:val="28"/>
          <w:szCs w:val="28"/>
          <w:lang w:val="en-GB"/>
        </w:rPr>
      </w:pPr>
      <w:r w:rsidRPr="00024CFE">
        <w:rPr>
          <w:b/>
          <w:bCs/>
          <w:sz w:val="28"/>
          <w:szCs w:val="28"/>
          <w:lang w:val="en-GB"/>
        </w:rPr>
        <w:t>H1 2023 Strategic Business Review</w:t>
      </w:r>
    </w:p>
    <w:p w14:paraId="1354477E" w14:textId="452428DA" w:rsidR="00024CFE" w:rsidRPr="00024CFE" w:rsidRDefault="00024CFE" w:rsidP="00024CFE">
      <w:pPr>
        <w:rPr>
          <w:b/>
          <w:bCs/>
          <w:lang w:val="en-GB"/>
        </w:rPr>
      </w:pPr>
      <w:r w:rsidRPr="00024CFE">
        <w:rPr>
          <w:b/>
          <w:bCs/>
          <w:lang w:val="en-GB"/>
        </w:rPr>
        <w:t>1. Executive Summary</w:t>
      </w:r>
    </w:p>
    <w:p w14:paraId="234770E0" w14:textId="7272138B" w:rsidR="00024CFE" w:rsidRDefault="00024CFE" w:rsidP="00024CFE">
      <w:pPr>
        <w:rPr>
          <w:lang w:val="en-GB"/>
        </w:rPr>
      </w:pPr>
      <w:r w:rsidRPr="00024CFE">
        <w:rPr>
          <w:lang w:val="en-GB"/>
        </w:rPr>
        <w:t>This report provides a strategic overview of the company's performance in the first half of 2023 (H1), highlighting key metrics, sales performance, competitive positioning, and market opportunities. The analysis is based on sales, product, customer, and market data up to June 30, 2023. The company remains a dominant player in the European pharmaceutical commercialization sector, with strong revenue performance and opportunities for further growth.</w:t>
      </w:r>
    </w:p>
    <w:p w14:paraId="04DA9141" w14:textId="1D64A047" w:rsidR="007143A2" w:rsidRDefault="00E973C2" w:rsidP="007143A2">
      <w:pPr>
        <w:keepNext/>
      </w:pPr>
      <w:r w:rsidRPr="009A6F01">
        <w:rPr>
          <w:noProof/>
          <w:lang w:val="en-GB"/>
        </w:rPr>
        <w:drawing>
          <wp:anchor distT="0" distB="0" distL="114300" distR="114300" simplePos="0" relativeHeight="251674112" behindDoc="0" locked="0" layoutInCell="1" allowOverlap="1" wp14:anchorId="275E7538" wp14:editId="3F64E608">
            <wp:simplePos x="0" y="0"/>
            <wp:positionH relativeFrom="column">
              <wp:posOffset>-923925</wp:posOffset>
            </wp:positionH>
            <wp:positionV relativeFrom="paragraph">
              <wp:posOffset>169545</wp:posOffset>
            </wp:positionV>
            <wp:extent cx="7419340" cy="5429250"/>
            <wp:effectExtent l="0" t="0" r="0" b="0"/>
            <wp:wrapSquare wrapText="bothSides"/>
            <wp:docPr id="1326067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67159" name="Picture 1" descr="A screenshot of a computer&#10;&#10;Description automatically generated"/>
                    <pic:cNvPicPr/>
                  </pic:nvPicPr>
                  <pic:blipFill>
                    <a:blip r:embed="rId6"/>
                    <a:stretch>
                      <a:fillRect/>
                    </a:stretch>
                  </pic:blipFill>
                  <pic:spPr>
                    <a:xfrm>
                      <a:off x="0" y="0"/>
                      <a:ext cx="7419340" cy="5429250"/>
                    </a:xfrm>
                    <a:prstGeom prst="rect">
                      <a:avLst/>
                    </a:prstGeom>
                  </pic:spPr>
                </pic:pic>
              </a:graphicData>
            </a:graphic>
            <wp14:sizeRelH relativeFrom="margin">
              <wp14:pctWidth>0</wp14:pctWidth>
            </wp14:sizeRelH>
            <wp14:sizeRelV relativeFrom="margin">
              <wp14:pctHeight>0</wp14:pctHeight>
            </wp14:sizeRelV>
          </wp:anchor>
        </w:drawing>
      </w:r>
    </w:p>
    <w:p w14:paraId="79F2C089" w14:textId="484EF7FC" w:rsidR="007143A2" w:rsidRDefault="007143A2" w:rsidP="007143A2">
      <w:pPr>
        <w:pStyle w:val="Caption"/>
      </w:pPr>
      <w:r>
        <w:t xml:space="preserve">Dashboard Page </w:t>
      </w:r>
      <w:r>
        <w:fldChar w:fldCharType="begin"/>
      </w:r>
      <w:r>
        <w:instrText xml:space="preserve"> SEQ Dashboard_Page \* ARABIC </w:instrText>
      </w:r>
      <w:r>
        <w:fldChar w:fldCharType="separate"/>
      </w:r>
      <w:r w:rsidR="00E973C2">
        <w:rPr>
          <w:noProof/>
        </w:rPr>
        <w:t>1</w:t>
      </w:r>
      <w:r>
        <w:fldChar w:fldCharType="end"/>
      </w:r>
    </w:p>
    <w:p w14:paraId="22C766B8" w14:textId="77777777" w:rsidR="00823CE9" w:rsidRDefault="00823CE9" w:rsidP="00D67E30">
      <w:pPr>
        <w:rPr>
          <w:lang w:val="en-GB"/>
        </w:rPr>
      </w:pPr>
    </w:p>
    <w:p w14:paraId="1DE24657" w14:textId="31F60673" w:rsidR="00D67E30" w:rsidRPr="00D67E30" w:rsidRDefault="00D67E30" w:rsidP="00D67E30">
      <w:pPr>
        <w:rPr>
          <w:lang w:val="en-GB"/>
        </w:rPr>
      </w:pPr>
      <w:r w:rsidRPr="00D67E30">
        <w:rPr>
          <w:lang w:val="en-GB"/>
        </w:rPr>
        <w:lastRenderedPageBreak/>
        <w:t xml:space="preserve">At first glance, the dashboard provides a clear overview of the company's performance. Q1 shows a slow start, with figures trailing behind the previous year. However, this was anticipated </w:t>
      </w:r>
      <w:r>
        <w:rPr>
          <w:lang w:val="en-GB"/>
        </w:rPr>
        <w:t>by projections</w:t>
      </w:r>
      <w:r w:rsidR="009A6F01">
        <w:rPr>
          <w:lang w:val="en-GB"/>
        </w:rPr>
        <w:t xml:space="preserve">. </w:t>
      </w:r>
      <w:r w:rsidR="005A4BBC" w:rsidRPr="00C9299A">
        <w:rPr>
          <w:lang w:val="en-GB"/>
        </w:rPr>
        <w:t xml:space="preserve">Due </w:t>
      </w:r>
      <w:r w:rsidR="00C9299A" w:rsidRPr="00C9299A">
        <w:rPr>
          <w:lang w:val="en-GB"/>
        </w:rPr>
        <w:t>t</w:t>
      </w:r>
      <w:r w:rsidR="005A4BBC" w:rsidRPr="00C9299A">
        <w:rPr>
          <w:lang w:val="en-GB"/>
        </w:rPr>
        <w:t>o Covid-19</w:t>
      </w:r>
      <w:r w:rsidR="00C9299A">
        <w:rPr>
          <w:b/>
          <w:bCs/>
          <w:lang w:val="en-GB"/>
        </w:rPr>
        <w:t xml:space="preserve"> m</w:t>
      </w:r>
      <w:r w:rsidRPr="00937C11">
        <w:rPr>
          <w:b/>
          <w:bCs/>
          <w:lang w:val="en-GB"/>
        </w:rPr>
        <w:t>any healthcare providers, hospitals, and pharmacies had overstocked</w:t>
      </w:r>
      <w:r w:rsidRPr="00D67E30">
        <w:rPr>
          <w:lang w:val="en-GB"/>
        </w:rPr>
        <w:t xml:space="preserve"> pharmaceutical products in 2022, leading to a temporary decline in new orders as they focused on depleting existing inventory.</w:t>
      </w:r>
    </w:p>
    <w:p w14:paraId="25A33CB1" w14:textId="33384E9D" w:rsidR="00D67E30" w:rsidRDefault="00D67E30" w:rsidP="00D67E30">
      <w:pPr>
        <w:rPr>
          <w:lang w:val="en-GB"/>
        </w:rPr>
      </w:pPr>
      <w:r w:rsidRPr="00D67E30">
        <w:rPr>
          <w:lang w:val="en-GB"/>
        </w:rPr>
        <w:t>Despite this initial slowdown, the sales team regained momentum toward the end of Q1 and into the beginning of the new financial year, reflecting a strong recovery in demand.</w:t>
      </w:r>
    </w:p>
    <w:p w14:paraId="06C2103E" w14:textId="30CC3893" w:rsidR="00024CFE" w:rsidRPr="00024CFE" w:rsidRDefault="00024CFE" w:rsidP="00D67E30">
      <w:pPr>
        <w:rPr>
          <w:b/>
          <w:bCs/>
          <w:lang w:val="en-GB"/>
        </w:rPr>
      </w:pPr>
      <w:r w:rsidRPr="00024CFE">
        <w:rPr>
          <w:b/>
          <w:bCs/>
          <w:lang w:val="en-GB"/>
        </w:rPr>
        <w:t>2. Financial Performance Overview</w:t>
      </w:r>
    </w:p>
    <w:p w14:paraId="5DF5C199" w14:textId="77777777" w:rsidR="00024CFE" w:rsidRPr="00024CFE" w:rsidRDefault="00024CFE" w:rsidP="00024CFE">
      <w:pPr>
        <w:numPr>
          <w:ilvl w:val="0"/>
          <w:numId w:val="21"/>
        </w:numPr>
        <w:rPr>
          <w:lang w:val="en-GB"/>
        </w:rPr>
      </w:pPr>
      <w:r w:rsidRPr="00024CFE">
        <w:rPr>
          <w:b/>
          <w:bCs/>
          <w:lang w:val="en-GB"/>
        </w:rPr>
        <w:t>Total Revenue:</w:t>
      </w:r>
      <w:r w:rsidRPr="00024CFE">
        <w:rPr>
          <w:lang w:val="en-GB"/>
        </w:rPr>
        <w:t xml:space="preserve"> $644,087,920.80</w:t>
      </w:r>
    </w:p>
    <w:p w14:paraId="3810ED13" w14:textId="77777777" w:rsidR="00024CFE" w:rsidRPr="00024CFE" w:rsidRDefault="00024CFE" w:rsidP="00024CFE">
      <w:pPr>
        <w:numPr>
          <w:ilvl w:val="0"/>
          <w:numId w:val="21"/>
        </w:numPr>
        <w:rPr>
          <w:lang w:val="en-GB"/>
        </w:rPr>
      </w:pPr>
      <w:r w:rsidRPr="00024CFE">
        <w:rPr>
          <w:b/>
          <w:bCs/>
          <w:lang w:val="en-GB"/>
        </w:rPr>
        <w:t>Total Margin:</w:t>
      </w:r>
      <w:r w:rsidRPr="00024CFE">
        <w:rPr>
          <w:lang w:val="en-GB"/>
        </w:rPr>
        <w:t xml:space="preserve"> $214,047,491.70</w:t>
      </w:r>
    </w:p>
    <w:p w14:paraId="7C63D601" w14:textId="77777777" w:rsidR="00024CFE" w:rsidRPr="00024CFE" w:rsidRDefault="00024CFE" w:rsidP="00024CFE">
      <w:pPr>
        <w:numPr>
          <w:ilvl w:val="0"/>
          <w:numId w:val="21"/>
        </w:numPr>
        <w:rPr>
          <w:lang w:val="en-GB"/>
        </w:rPr>
      </w:pPr>
      <w:r w:rsidRPr="00024CFE">
        <w:rPr>
          <w:b/>
          <w:bCs/>
          <w:lang w:val="en-GB"/>
        </w:rPr>
        <w:t>Total Units Sold:</w:t>
      </w:r>
      <w:r w:rsidRPr="00024CFE">
        <w:rPr>
          <w:lang w:val="en-GB"/>
        </w:rPr>
        <w:t xml:space="preserve"> 1,135,835</w:t>
      </w:r>
    </w:p>
    <w:p w14:paraId="1D15D7FB" w14:textId="77777777" w:rsidR="00024CFE" w:rsidRPr="00024CFE" w:rsidRDefault="00024CFE" w:rsidP="00024CFE">
      <w:pPr>
        <w:numPr>
          <w:ilvl w:val="0"/>
          <w:numId w:val="21"/>
        </w:numPr>
        <w:rPr>
          <w:lang w:val="en-GB"/>
        </w:rPr>
      </w:pPr>
      <w:r w:rsidRPr="00024CFE">
        <w:rPr>
          <w:b/>
          <w:bCs/>
          <w:lang w:val="en-GB"/>
        </w:rPr>
        <w:t>Profit Margin:</w:t>
      </w:r>
      <w:r w:rsidRPr="00024CFE">
        <w:rPr>
          <w:lang w:val="en-GB"/>
        </w:rPr>
        <w:t xml:space="preserve"> 33%</w:t>
      </w:r>
    </w:p>
    <w:p w14:paraId="6A0B7626" w14:textId="77777777" w:rsidR="00024CFE" w:rsidRPr="00024CFE" w:rsidRDefault="00024CFE" w:rsidP="00024CFE">
      <w:pPr>
        <w:numPr>
          <w:ilvl w:val="0"/>
          <w:numId w:val="21"/>
        </w:numPr>
        <w:rPr>
          <w:lang w:val="en-GB"/>
        </w:rPr>
      </w:pPr>
      <w:r w:rsidRPr="00024CFE">
        <w:rPr>
          <w:b/>
          <w:bCs/>
          <w:lang w:val="en-GB"/>
        </w:rPr>
        <w:t>Achieved AOP:</w:t>
      </w:r>
      <w:r w:rsidRPr="00024CFE">
        <w:rPr>
          <w:lang w:val="en-GB"/>
        </w:rPr>
        <w:t xml:space="preserve"> 65.4%</w:t>
      </w:r>
    </w:p>
    <w:p w14:paraId="54C071F6" w14:textId="77777777" w:rsidR="00024CFE" w:rsidRPr="00024CFE" w:rsidRDefault="00024CFE" w:rsidP="00024CFE">
      <w:pPr>
        <w:rPr>
          <w:b/>
          <w:bCs/>
          <w:lang w:val="en-GB"/>
        </w:rPr>
      </w:pPr>
      <w:r w:rsidRPr="00024CFE">
        <w:rPr>
          <w:b/>
          <w:bCs/>
          <w:lang w:val="en-GB"/>
        </w:rPr>
        <w:t>Key Takeaways:</w:t>
      </w:r>
    </w:p>
    <w:p w14:paraId="46CC8FB3" w14:textId="5F6D1AEC" w:rsidR="0096617C" w:rsidRPr="0096617C" w:rsidRDefault="0096617C" w:rsidP="0096617C">
      <w:pPr>
        <w:numPr>
          <w:ilvl w:val="0"/>
          <w:numId w:val="24"/>
        </w:numPr>
        <w:rPr>
          <w:lang w:val="en-GB"/>
        </w:rPr>
      </w:pPr>
      <w:r w:rsidRPr="0096617C">
        <w:rPr>
          <w:b/>
          <w:bCs/>
          <w:lang w:val="en-GB"/>
        </w:rPr>
        <w:t>Recovery Validates Market Resilience</w:t>
      </w:r>
      <w:r w:rsidRPr="0096617C">
        <w:rPr>
          <w:lang w:val="en-GB"/>
        </w:rPr>
        <w:br/>
        <w:t>The initial slowdown in Q1, driven by inventory destocking, aligns with forecasts. However, the strong rebound in Q2 suggests that demand fundamentals remain intact, reaffirming the company's market positioning.</w:t>
      </w:r>
    </w:p>
    <w:p w14:paraId="30B1A39D" w14:textId="695B9276" w:rsidR="0096617C" w:rsidRPr="0096617C" w:rsidRDefault="0096617C" w:rsidP="0096617C">
      <w:pPr>
        <w:numPr>
          <w:ilvl w:val="0"/>
          <w:numId w:val="24"/>
        </w:numPr>
        <w:rPr>
          <w:lang w:val="en-GB"/>
        </w:rPr>
      </w:pPr>
      <w:r w:rsidRPr="0096617C">
        <w:rPr>
          <w:b/>
          <w:bCs/>
          <w:lang w:val="en-GB"/>
        </w:rPr>
        <w:t>Revenue Performance is Solid, But Market Share Gains Are Uneven</w:t>
      </w:r>
      <w:r w:rsidRPr="0096617C">
        <w:rPr>
          <w:lang w:val="en-GB"/>
        </w:rPr>
        <w:br/>
        <w:t>While overall revenue has remained strong, performance varies by region and product line. Some segments are growing faster than others, highlighting areas for targeted commercial efforts.</w:t>
      </w:r>
    </w:p>
    <w:p w14:paraId="29DE92DB" w14:textId="754A2A2E" w:rsidR="0096617C" w:rsidRPr="0096617C" w:rsidRDefault="0096617C" w:rsidP="0096617C">
      <w:pPr>
        <w:numPr>
          <w:ilvl w:val="0"/>
          <w:numId w:val="24"/>
        </w:numPr>
        <w:rPr>
          <w:lang w:val="en-GB"/>
        </w:rPr>
      </w:pPr>
      <w:r w:rsidRPr="0096617C">
        <w:rPr>
          <w:b/>
          <w:bCs/>
          <w:lang w:val="en-GB"/>
        </w:rPr>
        <w:t>Sales Efficiency is Improving Despite a Decline in Order Volume</w:t>
      </w:r>
      <w:r w:rsidRPr="0096617C">
        <w:rPr>
          <w:lang w:val="en-GB"/>
        </w:rPr>
        <w:br/>
        <w:t>The drop in total orders (-15.3%) is offset by a higher average deal size (+14.8%), indicating stronger negotiation leverage and product positioning in high-value deals</w:t>
      </w:r>
      <w:r w:rsidR="005E2653">
        <w:rPr>
          <w:lang w:val="en-GB"/>
        </w:rPr>
        <w:t xml:space="preserve"> (</w:t>
      </w:r>
      <w:r w:rsidR="006F3463">
        <w:rPr>
          <w:lang w:val="en-GB"/>
        </w:rPr>
        <w:t>suggested further analysis)</w:t>
      </w:r>
      <w:r w:rsidRPr="0096617C">
        <w:rPr>
          <w:lang w:val="en-GB"/>
        </w:rPr>
        <w:t>.</w:t>
      </w:r>
    </w:p>
    <w:p w14:paraId="1AC9535E" w14:textId="77777777" w:rsidR="00024CFE" w:rsidRPr="00024CFE" w:rsidRDefault="00024CFE" w:rsidP="00024CFE">
      <w:pPr>
        <w:rPr>
          <w:b/>
          <w:bCs/>
          <w:lang w:val="en-GB"/>
        </w:rPr>
      </w:pPr>
      <w:r w:rsidRPr="00024CFE">
        <w:rPr>
          <w:b/>
          <w:bCs/>
          <w:lang w:val="en-GB"/>
        </w:rPr>
        <w:t>3. Revenue &amp; Profitability Drivers</w:t>
      </w:r>
    </w:p>
    <w:p w14:paraId="388FF160" w14:textId="77777777" w:rsidR="00024CFE" w:rsidRPr="00024CFE" w:rsidRDefault="00024CFE" w:rsidP="00024CFE">
      <w:pPr>
        <w:rPr>
          <w:b/>
          <w:bCs/>
          <w:lang w:val="en-GB"/>
        </w:rPr>
      </w:pPr>
      <w:r w:rsidRPr="00024CFE">
        <w:rPr>
          <w:b/>
          <w:bCs/>
          <w:lang w:val="en-GB"/>
        </w:rPr>
        <w:t>Top 3 Revenue-Generating Products</w:t>
      </w:r>
    </w:p>
    <w:p w14:paraId="052BBA82" w14:textId="77777777" w:rsidR="00024CFE" w:rsidRPr="00024CFE" w:rsidRDefault="00024CFE" w:rsidP="00024CFE">
      <w:pPr>
        <w:numPr>
          <w:ilvl w:val="0"/>
          <w:numId w:val="23"/>
        </w:numPr>
        <w:rPr>
          <w:lang w:val="en-GB"/>
        </w:rPr>
      </w:pPr>
      <w:r w:rsidRPr="00024CFE">
        <w:rPr>
          <w:b/>
          <w:bCs/>
          <w:lang w:val="en-GB"/>
        </w:rPr>
        <w:t>Zanamivir:</w:t>
      </w:r>
      <w:r w:rsidRPr="00024CFE">
        <w:rPr>
          <w:lang w:val="en-GB"/>
        </w:rPr>
        <w:t xml:space="preserve"> $15,358,554</w:t>
      </w:r>
    </w:p>
    <w:p w14:paraId="799EBD67" w14:textId="77777777" w:rsidR="00024CFE" w:rsidRPr="00024CFE" w:rsidRDefault="00024CFE" w:rsidP="00024CFE">
      <w:pPr>
        <w:numPr>
          <w:ilvl w:val="0"/>
          <w:numId w:val="23"/>
        </w:numPr>
        <w:rPr>
          <w:lang w:val="en-GB"/>
        </w:rPr>
      </w:pPr>
      <w:r w:rsidRPr="00024CFE">
        <w:rPr>
          <w:b/>
          <w:bCs/>
          <w:lang w:val="en-GB"/>
        </w:rPr>
        <w:t>Amoxiril:</w:t>
      </w:r>
      <w:r w:rsidRPr="00024CFE">
        <w:rPr>
          <w:lang w:val="en-GB"/>
        </w:rPr>
        <w:t xml:space="preserve"> $15,025,408</w:t>
      </w:r>
    </w:p>
    <w:p w14:paraId="59D510C0" w14:textId="77777777" w:rsidR="00024CFE" w:rsidRPr="00024CFE" w:rsidRDefault="00024CFE" w:rsidP="00024CFE">
      <w:pPr>
        <w:numPr>
          <w:ilvl w:val="0"/>
          <w:numId w:val="23"/>
        </w:numPr>
        <w:rPr>
          <w:lang w:val="en-GB"/>
        </w:rPr>
      </w:pPr>
      <w:r w:rsidRPr="00024CFE">
        <w:rPr>
          <w:b/>
          <w:bCs/>
          <w:lang w:val="en-GB"/>
        </w:rPr>
        <w:t>Rituximab:</w:t>
      </w:r>
      <w:r w:rsidRPr="00024CFE">
        <w:rPr>
          <w:lang w:val="en-GB"/>
        </w:rPr>
        <w:t xml:space="preserve"> $14,249,538</w:t>
      </w:r>
    </w:p>
    <w:p w14:paraId="5DF08B29" w14:textId="77777777" w:rsidR="00024CFE" w:rsidRPr="00024CFE" w:rsidRDefault="00024CFE" w:rsidP="00024CFE">
      <w:pPr>
        <w:rPr>
          <w:b/>
          <w:bCs/>
          <w:lang w:val="en-GB"/>
        </w:rPr>
      </w:pPr>
      <w:r w:rsidRPr="00024CFE">
        <w:rPr>
          <w:b/>
          <w:bCs/>
          <w:lang w:val="en-GB"/>
        </w:rPr>
        <w:t>Strategic Considerations:</w:t>
      </w:r>
    </w:p>
    <w:p w14:paraId="3D671553" w14:textId="51ECBE51" w:rsidR="00CD7F72" w:rsidRPr="00CD7F72" w:rsidRDefault="00CD7F72" w:rsidP="00CD7F72">
      <w:pPr>
        <w:pStyle w:val="ListParagraph"/>
        <w:numPr>
          <w:ilvl w:val="0"/>
          <w:numId w:val="23"/>
        </w:numPr>
        <w:rPr>
          <w:lang w:val="en-GB"/>
        </w:rPr>
      </w:pPr>
      <w:r w:rsidRPr="00CD7F72">
        <w:rPr>
          <w:b/>
          <w:bCs/>
          <w:lang w:val="en-GB"/>
        </w:rPr>
        <w:lastRenderedPageBreak/>
        <w:t>Capitalize on High-Performing Products to Sustain Momentum</w:t>
      </w:r>
      <w:r w:rsidRPr="00CD7F72">
        <w:rPr>
          <w:lang w:val="en-GB"/>
        </w:rPr>
        <w:br/>
        <w:t>The top-selling products</w:t>
      </w:r>
      <w:r>
        <w:rPr>
          <w:lang w:val="en-GB"/>
        </w:rPr>
        <w:t xml:space="preserve"> </w:t>
      </w:r>
      <w:r w:rsidRPr="00CD7F72">
        <w:rPr>
          <w:lang w:val="en-GB"/>
        </w:rPr>
        <w:t>are driving a significant share of revenue. Ensuring supply chain stability and reinforcing their market penetration should be a priority.</w:t>
      </w:r>
    </w:p>
    <w:p w14:paraId="36A9DBB5" w14:textId="39603CEC" w:rsidR="00CD7F72" w:rsidRPr="00CD7F72" w:rsidRDefault="00CD7F72" w:rsidP="00CD7F72">
      <w:pPr>
        <w:pStyle w:val="ListParagraph"/>
        <w:numPr>
          <w:ilvl w:val="0"/>
          <w:numId w:val="23"/>
        </w:numPr>
        <w:rPr>
          <w:lang w:val="en-GB"/>
        </w:rPr>
      </w:pPr>
      <w:r w:rsidRPr="00CD7F72">
        <w:rPr>
          <w:b/>
          <w:bCs/>
          <w:lang w:val="en-GB"/>
        </w:rPr>
        <w:t>Address Underperforming Segments with More Targeted Actions</w:t>
      </w:r>
      <w:r w:rsidRPr="00CD7F72">
        <w:rPr>
          <w:lang w:val="en-GB"/>
        </w:rPr>
        <w:br/>
        <w:t>The gap between teams in meeting their AOP targets suggests room for localized commercial strategies rather than a one-size-fits-all approach. Tailoring incentives and outreach in weaker regions could drive additional growth.</w:t>
      </w:r>
    </w:p>
    <w:p w14:paraId="2D5E7E54" w14:textId="53C422E7" w:rsidR="00CD7F72" w:rsidRPr="00CD7F72" w:rsidRDefault="00CD7F72" w:rsidP="00CD7F72">
      <w:pPr>
        <w:pStyle w:val="ListParagraph"/>
        <w:numPr>
          <w:ilvl w:val="0"/>
          <w:numId w:val="23"/>
        </w:numPr>
        <w:rPr>
          <w:lang w:val="en-GB"/>
        </w:rPr>
      </w:pPr>
      <w:r w:rsidRPr="00CD7F72">
        <w:rPr>
          <w:b/>
          <w:bCs/>
          <w:lang w:val="en-GB"/>
        </w:rPr>
        <w:t>Leverage Market Intelligence to Optimize Pricing &amp; Bundling</w:t>
      </w:r>
      <w:r w:rsidRPr="00CD7F72">
        <w:rPr>
          <w:lang w:val="en-GB"/>
        </w:rPr>
        <w:br/>
        <w:t>The increasing average deal size presents an opportunity to refine pricing strategies further and introduce bundled offerings to enhance cross-product adoption.</w:t>
      </w:r>
    </w:p>
    <w:p w14:paraId="1D21329C" w14:textId="3DF884E6" w:rsidR="00CD7F72" w:rsidRPr="00CD7F72" w:rsidRDefault="00CD7F72" w:rsidP="00CD7F72">
      <w:pPr>
        <w:pStyle w:val="ListParagraph"/>
        <w:numPr>
          <w:ilvl w:val="0"/>
          <w:numId w:val="23"/>
        </w:numPr>
        <w:rPr>
          <w:lang w:val="en-GB"/>
        </w:rPr>
      </w:pPr>
      <w:r w:rsidRPr="00CD7F72">
        <w:rPr>
          <w:b/>
          <w:bCs/>
          <w:lang w:val="en-GB"/>
        </w:rPr>
        <w:t>Ensure Agile Inventory Management to Prevent Supply Bottlenecks</w:t>
      </w:r>
      <w:r w:rsidRPr="00CD7F72">
        <w:rPr>
          <w:lang w:val="en-GB"/>
        </w:rPr>
        <w:br/>
        <w:t>The Q1 destocking effect underscores the importance of anticipatory inventory planning. Strengthening demand forecasting and real-time stock allocation will help mitigate future slowdowns.</w:t>
      </w:r>
    </w:p>
    <w:p w14:paraId="7C1DA1A2" w14:textId="77777777" w:rsidR="00024CFE" w:rsidRPr="00024CFE" w:rsidRDefault="00024CFE" w:rsidP="00024CFE">
      <w:pPr>
        <w:rPr>
          <w:b/>
          <w:bCs/>
          <w:lang w:val="en-GB"/>
        </w:rPr>
      </w:pPr>
      <w:r w:rsidRPr="00024CFE">
        <w:rPr>
          <w:b/>
          <w:bCs/>
          <w:lang w:val="en-GB"/>
        </w:rPr>
        <w:t>4. Sales Team Performance</w:t>
      </w:r>
    </w:p>
    <w:p w14:paraId="17CEBF43" w14:textId="098D6805" w:rsidR="00024CFE" w:rsidRPr="00024CFE" w:rsidRDefault="00024CFE" w:rsidP="00024CFE">
      <w:pPr>
        <w:rPr>
          <w:b/>
          <w:bCs/>
          <w:lang w:val="en-GB"/>
        </w:rPr>
      </w:pPr>
      <w:r w:rsidRPr="00024CFE">
        <w:rPr>
          <w:b/>
          <w:bCs/>
          <w:lang w:val="en-GB"/>
        </w:rPr>
        <w:t>Top Sales Team by Revenue</w:t>
      </w:r>
    </w:p>
    <w:p w14:paraId="718C271B" w14:textId="77777777" w:rsidR="00024CFE" w:rsidRPr="00024CFE" w:rsidRDefault="00024CFE" w:rsidP="00024CFE">
      <w:pPr>
        <w:numPr>
          <w:ilvl w:val="0"/>
          <w:numId w:val="25"/>
        </w:numPr>
        <w:rPr>
          <w:lang w:val="en-GB"/>
        </w:rPr>
      </w:pPr>
      <w:r w:rsidRPr="00024CFE">
        <w:rPr>
          <w:b/>
          <w:bCs/>
          <w:lang w:val="en-GB"/>
        </w:rPr>
        <w:t>Team TTD:</w:t>
      </w:r>
      <w:r w:rsidRPr="00024CFE">
        <w:rPr>
          <w:lang w:val="en-GB"/>
        </w:rPr>
        <w:t xml:space="preserve"> $134,786,887.55</w:t>
      </w:r>
    </w:p>
    <w:p w14:paraId="748AD39A" w14:textId="6D915DBA" w:rsidR="00501648" w:rsidRPr="00501648" w:rsidRDefault="00501648" w:rsidP="00501648">
      <w:pPr>
        <w:rPr>
          <w:b/>
          <w:bCs/>
          <w:lang w:val="en-GB"/>
        </w:rPr>
      </w:pPr>
      <w:r w:rsidRPr="00501648">
        <w:rPr>
          <w:b/>
          <w:bCs/>
          <w:lang w:val="en-GB"/>
        </w:rPr>
        <w:t>Key Observations:</w:t>
      </w:r>
    </w:p>
    <w:p w14:paraId="0CE4AEB7" w14:textId="77777777" w:rsidR="00501648" w:rsidRPr="00501648" w:rsidRDefault="00501648" w:rsidP="00501648">
      <w:pPr>
        <w:numPr>
          <w:ilvl w:val="0"/>
          <w:numId w:val="32"/>
        </w:numPr>
        <w:rPr>
          <w:lang w:val="en-GB"/>
        </w:rPr>
      </w:pPr>
      <w:r w:rsidRPr="00501648">
        <w:rPr>
          <w:lang w:val="en-GB"/>
        </w:rPr>
        <w:t>Team TTD outperformed other teams significantly, contributing a substantial share of total revenue.</w:t>
      </w:r>
    </w:p>
    <w:p w14:paraId="3C0F4805" w14:textId="77777777" w:rsidR="00501648" w:rsidRPr="00501648" w:rsidRDefault="00501648" w:rsidP="00501648">
      <w:pPr>
        <w:numPr>
          <w:ilvl w:val="0"/>
          <w:numId w:val="32"/>
        </w:numPr>
        <w:rPr>
          <w:lang w:val="en-GB"/>
        </w:rPr>
      </w:pPr>
      <w:r w:rsidRPr="00501648">
        <w:rPr>
          <w:lang w:val="en-GB"/>
        </w:rPr>
        <w:t>Performance gaps exist among other teams, indicating potential inefficiencies or disparities in market approach.</w:t>
      </w:r>
    </w:p>
    <w:p w14:paraId="314AC1BB" w14:textId="77777777" w:rsidR="00501648" w:rsidRPr="00501648" w:rsidRDefault="00501648" w:rsidP="00501648">
      <w:pPr>
        <w:rPr>
          <w:b/>
          <w:bCs/>
          <w:lang w:val="en-GB"/>
        </w:rPr>
      </w:pPr>
      <w:r w:rsidRPr="00501648">
        <w:rPr>
          <w:b/>
          <w:bCs/>
          <w:lang w:val="en-GB"/>
        </w:rPr>
        <w:t>Strategic Implications:</w:t>
      </w:r>
    </w:p>
    <w:p w14:paraId="1BF6FB94" w14:textId="77777777" w:rsidR="00501648" w:rsidRPr="00501648" w:rsidRDefault="00501648" w:rsidP="00501648">
      <w:pPr>
        <w:numPr>
          <w:ilvl w:val="0"/>
          <w:numId w:val="33"/>
        </w:numPr>
        <w:rPr>
          <w:lang w:val="en-GB"/>
        </w:rPr>
      </w:pPr>
      <w:r w:rsidRPr="00501648">
        <w:rPr>
          <w:lang w:val="en-GB"/>
        </w:rPr>
        <w:t>Scale Proven Strategies: Identify the specific tactics, customer engagement models, and product focus areas that contributed to TTD's success and replicate best practices across lower-performing teams.</w:t>
      </w:r>
    </w:p>
    <w:p w14:paraId="6D1E0BAB" w14:textId="3C7AE6E9" w:rsidR="00501648" w:rsidRPr="00501648" w:rsidRDefault="00501648" w:rsidP="00501648">
      <w:pPr>
        <w:numPr>
          <w:ilvl w:val="0"/>
          <w:numId w:val="33"/>
        </w:numPr>
        <w:rPr>
          <w:lang w:val="en-GB"/>
        </w:rPr>
      </w:pPr>
      <w:r w:rsidRPr="00501648">
        <w:rPr>
          <w:lang w:val="en-GB"/>
        </w:rPr>
        <w:t xml:space="preserve">Deep-Dive into Sales Productivity Metrics: </w:t>
      </w:r>
      <w:r w:rsidR="00541D07" w:rsidRPr="00501648">
        <w:rPr>
          <w:lang w:val="en-GB"/>
        </w:rPr>
        <w:t>Analyse</w:t>
      </w:r>
      <w:r w:rsidRPr="00501648">
        <w:rPr>
          <w:lang w:val="en-GB"/>
        </w:rPr>
        <w:t xml:space="preserve"> win rates, sales cycle length, and conversion rates to determine where improvements can be made to streamline efforts.</w:t>
      </w:r>
    </w:p>
    <w:p w14:paraId="3DD51403" w14:textId="77777777" w:rsidR="00FB0D57" w:rsidRDefault="00501648" w:rsidP="00FB0D57">
      <w:pPr>
        <w:numPr>
          <w:ilvl w:val="0"/>
          <w:numId w:val="33"/>
        </w:numPr>
        <w:rPr>
          <w:lang w:val="en-GB"/>
        </w:rPr>
      </w:pPr>
      <w:r w:rsidRPr="00501648">
        <w:rPr>
          <w:lang w:val="en-GB"/>
        </w:rPr>
        <w:t>Optimize Sales Enablement &amp; AI Integration: Assess whether AI-driven lead scoring, predictive analytics, and targeted engagement could improve overall sales effectiveness, ensuring that sales teams prioritize high-potential opportunities.</w:t>
      </w:r>
    </w:p>
    <w:p w14:paraId="676DAD28" w14:textId="5B67F2A9" w:rsidR="00BD2E4D" w:rsidRPr="00024CFE" w:rsidRDefault="00FB0D57" w:rsidP="00FB0D57">
      <w:pPr>
        <w:rPr>
          <w:lang w:val="en-GB"/>
        </w:rPr>
      </w:pPr>
      <w:r>
        <w:rPr>
          <w:noProof/>
        </w:rPr>
        <w:lastRenderedPageBreak/>
        <mc:AlternateContent>
          <mc:Choice Requires="wps">
            <w:drawing>
              <wp:anchor distT="0" distB="0" distL="114300" distR="114300" simplePos="0" relativeHeight="251652608" behindDoc="0" locked="0" layoutInCell="1" allowOverlap="1" wp14:anchorId="65F4320C" wp14:editId="4D4C0111">
                <wp:simplePos x="0" y="0"/>
                <wp:positionH relativeFrom="column">
                  <wp:posOffset>-590550</wp:posOffset>
                </wp:positionH>
                <wp:positionV relativeFrom="paragraph">
                  <wp:posOffset>5076825</wp:posOffset>
                </wp:positionV>
                <wp:extent cx="6343650" cy="260985"/>
                <wp:effectExtent l="0" t="0" r="0" b="5715"/>
                <wp:wrapTopAndBottom/>
                <wp:docPr id="1306021350" name="Text Box 1"/>
                <wp:cNvGraphicFramePr/>
                <a:graphic xmlns:a="http://schemas.openxmlformats.org/drawingml/2006/main">
                  <a:graphicData uri="http://schemas.microsoft.com/office/word/2010/wordprocessingShape">
                    <wps:wsp>
                      <wps:cNvSpPr txBox="1"/>
                      <wps:spPr>
                        <a:xfrm>
                          <a:off x="0" y="0"/>
                          <a:ext cx="6343650" cy="260985"/>
                        </a:xfrm>
                        <a:prstGeom prst="rect">
                          <a:avLst/>
                        </a:prstGeom>
                        <a:noFill/>
                        <a:ln>
                          <a:noFill/>
                        </a:ln>
                      </wps:spPr>
                      <wps:txbx>
                        <w:txbxContent>
                          <w:p w14:paraId="503E2F5C" w14:textId="3DBA6371" w:rsidR="007143A2" w:rsidRPr="007143A2" w:rsidRDefault="007143A2" w:rsidP="007143A2">
                            <w:pPr>
                              <w:pStyle w:val="Caption"/>
                            </w:pPr>
                            <w:r>
                              <w:t xml:space="preserve">Dashboard Page </w:t>
                            </w:r>
                            <w:r>
                              <w:fldChar w:fldCharType="begin"/>
                            </w:r>
                            <w:r>
                              <w:instrText xml:space="preserve"> SEQ Dashboard_Page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F4320C" id="_x0000_t202" coordsize="21600,21600" o:spt="202" path="m,l,21600r21600,l21600,xe">
                <v:stroke joinstyle="miter"/>
                <v:path gradientshapeok="t" o:connecttype="rect"/>
              </v:shapetype>
              <v:shape id="Text Box 1" o:spid="_x0000_s1026" type="#_x0000_t202" style="position:absolute;margin-left:-46.5pt;margin-top:399.75pt;width:499.5pt;height:20.5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" filled="f" stroked="f">
                <v:textbox style="mso-fit-shape-to-text:t" inset="0,0,0,0">
                  <w:txbxContent>
                    <w:p w14:paraId="503E2F5C" w14:textId="3DBA6371" w:rsidR="007143A2" w:rsidRPr="007143A2" w:rsidRDefault="007143A2" w:rsidP="007143A2">
                      <w:pPr>
                        <w:pStyle w:val="Caption"/>
                      </w:pPr>
                      <w:r>
                        <w:t xml:space="preserve">Dashboard Page </w:t>
                      </w:r>
                      <w:r>
                        <w:fldChar w:fldCharType="begin"/>
                      </w:r>
                      <w:r>
                        <w:instrText xml:space="preserve"> SEQ Dashboard_Page \* ARABIC </w:instrText>
                      </w:r>
                      <w:r>
                        <w:fldChar w:fldCharType="separate"/>
                      </w:r>
                      <w:r>
                        <w:t>2</w:t>
                      </w:r>
                      <w:r>
                        <w:fldChar w:fldCharType="end"/>
                      </w:r>
                    </w:p>
                  </w:txbxContent>
                </v:textbox>
                <w10:wrap type="topAndBottom"/>
              </v:shape>
            </w:pict>
          </mc:Fallback>
        </mc:AlternateContent>
      </w:r>
      <w:r w:rsidR="00DF1D22" w:rsidRPr="007143A2">
        <w:rPr>
          <w:noProof/>
          <w:lang w:val="en-GB"/>
        </w:rPr>
        <w:drawing>
          <wp:anchor distT="0" distB="0" distL="114300" distR="114300" simplePos="0" relativeHeight="251664896" behindDoc="0" locked="0" layoutInCell="1" allowOverlap="1" wp14:anchorId="742730BE" wp14:editId="7AFE5648">
            <wp:simplePos x="0" y="0"/>
            <wp:positionH relativeFrom="column">
              <wp:posOffset>-590550</wp:posOffset>
            </wp:positionH>
            <wp:positionV relativeFrom="paragraph">
              <wp:posOffset>0</wp:posOffset>
            </wp:positionV>
            <wp:extent cx="6746875" cy="4936490"/>
            <wp:effectExtent l="0" t="0" r="0" b="0"/>
            <wp:wrapTopAndBottom/>
            <wp:docPr id="120333371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33719" name="Picture 1">
                      <a:extLst>
                        <a:ext uri="{C183D7F6-B498-43B3-948B-1728B52AA6E4}">
                          <adec:decorative xmlns:adec="http://schemas.microsoft.com/office/drawing/2017/decorative" val="1"/>
                        </a:ext>
                      </a:extLst>
                    </pic:cNvPr>
                    <pic:cNvPicPr/>
                  </pic:nvPicPr>
                  <pic:blipFill>
                    <a:blip r:embed="rId7"/>
                    <a:stretch>
                      <a:fillRect/>
                    </a:stretch>
                  </pic:blipFill>
                  <pic:spPr>
                    <a:xfrm>
                      <a:off x="0" y="0"/>
                      <a:ext cx="6746875" cy="4936490"/>
                    </a:xfrm>
                    <a:prstGeom prst="rect">
                      <a:avLst/>
                    </a:prstGeom>
                  </pic:spPr>
                </pic:pic>
              </a:graphicData>
            </a:graphic>
            <wp14:sizeRelH relativeFrom="margin">
              <wp14:pctWidth>0</wp14:pctWidth>
            </wp14:sizeRelH>
            <wp14:sizeRelV relativeFrom="margin">
              <wp14:pctHeight>0</wp14:pctHeight>
            </wp14:sizeRelV>
          </wp:anchor>
        </w:drawing>
      </w:r>
    </w:p>
    <w:p w14:paraId="4275F765" w14:textId="4F49FDCC" w:rsidR="00024CFE" w:rsidRPr="00024CFE" w:rsidRDefault="00024CFE" w:rsidP="00024CFE">
      <w:pPr>
        <w:rPr>
          <w:b/>
          <w:bCs/>
          <w:lang w:val="en-GB"/>
        </w:rPr>
      </w:pPr>
      <w:r w:rsidRPr="00024CFE">
        <w:rPr>
          <w:b/>
          <w:bCs/>
          <w:lang w:val="en-GB"/>
        </w:rPr>
        <w:t>5. High-Value Customers</w:t>
      </w:r>
    </w:p>
    <w:p w14:paraId="42A0BBE0" w14:textId="3F530CB7" w:rsidR="00024CFE" w:rsidRPr="00024CFE" w:rsidRDefault="00024CFE" w:rsidP="00024CFE">
      <w:pPr>
        <w:rPr>
          <w:b/>
          <w:bCs/>
          <w:lang w:val="en-GB"/>
        </w:rPr>
      </w:pPr>
      <w:r w:rsidRPr="00024CFE">
        <w:rPr>
          <w:b/>
          <w:bCs/>
          <w:lang w:val="en-GB"/>
        </w:rPr>
        <w:t xml:space="preserve">Top </w:t>
      </w:r>
      <w:r w:rsidR="00BD2E4D">
        <w:rPr>
          <w:b/>
          <w:bCs/>
          <w:lang w:val="en-GB"/>
        </w:rPr>
        <w:t>3</w:t>
      </w:r>
      <w:r w:rsidRPr="00024CFE">
        <w:rPr>
          <w:b/>
          <w:bCs/>
          <w:lang w:val="en-GB"/>
        </w:rPr>
        <w:t xml:space="preserve"> Customers by Revenue</w:t>
      </w:r>
    </w:p>
    <w:p w14:paraId="2B546694" w14:textId="1BF6A03A" w:rsidR="00024CFE" w:rsidRPr="00024CFE" w:rsidRDefault="00024CFE" w:rsidP="00024CFE">
      <w:pPr>
        <w:numPr>
          <w:ilvl w:val="0"/>
          <w:numId w:val="27"/>
        </w:numPr>
        <w:rPr>
          <w:lang w:val="en-GB"/>
        </w:rPr>
      </w:pPr>
      <w:r w:rsidRPr="00024CFE">
        <w:rPr>
          <w:b/>
          <w:bCs/>
          <w:lang w:val="en-GB"/>
        </w:rPr>
        <w:t>Customer 1</w:t>
      </w:r>
      <w:r w:rsidR="00BD2E4D">
        <w:rPr>
          <w:b/>
          <w:bCs/>
          <w:lang w:val="en-GB"/>
        </w:rPr>
        <w:t>5</w:t>
      </w:r>
      <w:r w:rsidRPr="00024CFE">
        <w:rPr>
          <w:b/>
          <w:bCs/>
          <w:lang w:val="en-GB"/>
        </w:rPr>
        <w:t>0:</w:t>
      </w:r>
      <w:r w:rsidRPr="00024CFE">
        <w:rPr>
          <w:lang w:val="en-GB"/>
        </w:rPr>
        <w:t xml:space="preserve"> $2,5</w:t>
      </w:r>
      <w:r w:rsidR="00BD2E4D">
        <w:rPr>
          <w:lang w:val="en-GB"/>
        </w:rPr>
        <w:t>95</w:t>
      </w:r>
      <w:r w:rsidRPr="00024CFE">
        <w:rPr>
          <w:lang w:val="en-GB"/>
        </w:rPr>
        <w:t>,</w:t>
      </w:r>
      <w:r w:rsidR="00BD2E4D">
        <w:rPr>
          <w:lang w:val="en-GB"/>
        </w:rPr>
        <w:t>395</w:t>
      </w:r>
    </w:p>
    <w:p w14:paraId="5FF00C50" w14:textId="48DDABA1" w:rsidR="00024CFE" w:rsidRPr="00024CFE" w:rsidRDefault="00024CFE" w:rsidP="00024CFE">
      <w:pPr>
        <w:numPr>
          <w:ilvl w:val="0"/>
          <w:numId w:val="27"/>
        </w:numPr>
        <w:rPr>
          <w:lang w:val="en-GB"/>
        </w:rPr>
      </w:pPr>
      <w:r w:rsidRPr="00024CFE">
        <w:rPr>
          <w:b/>
          <w:bCs/>
          <w:lang w:val="en-GB"/>
        </w:rPr>
        <w:t xml:space="preserve">Customer </w:t>
      </w:r>
      <w:r w:rsidR="00BD2E4D">
        <w:rPr>
          <w:b/>
          <w:bCs/>
          <w:lang w:val="en-GB"/>
        </w:rPr>
        <w:t>95</w:t>
      </w:r>
      <w:r w:rsidRPr="00024CFE">
        <w:rPr>
          <w:b/>
          <w:bCs/>
          <w:lang w:val="en-GB"/>
        </w:rPr>
        <w:t>:</w:t>
      </w:r>
      <w:r w:rsidRPr="00024CFE">
        <w:rPr>
          <w:lang w:val="en-GB"/>
        </w:rPr>
        <w:t xml:space="preserve"> $2,</w:t>
      </w:r>
      <w:r w:rsidR="00BD2E4D">
        <w:rPr>
          <w:lang w:val="en-GB"/>
        </w:rPr>
        <w:t>486,290</w:t>
      </w:r>
    </w:p>
    <w:p w14:paraId="17153D05" w14:textId="7081C405" w:rsidR="00024CFE" w:rsidRPr="00024CFE" w:rsidRDefault="00024CFE" w:rsidP="00024CFE">
      <w:pPr>
        <w:numPr>
          <w:ilvl w:val="0"/>
          <w:numId w:val="27"/>
        </w:numPr>
        <w:rPr>
          <w:lang w:val="en-GB"/>
        </w:rPr>
      </w:pPr>
      <w:r w:rsidRPr="00024CFE">
        <w:rPr>
          <w:b/>
          <w:bCs/>
          <w:lang w:val="en-GB"/>
        </w:rPr>
        <w:t xml:space="preserve">Customer </w:t>
      </w:r>
      <w:r w:rsidR="00BD2E4D">
        <w:rPr>
          <w:b/>
          <w:bCs/>
          <w:lang w:val="en-GB"/>
        </w:rPr>
        <w:t>160</w:t>
      </w:r>
      <w:r w:rsidRPr="00024CFE">
        <w:rPr>
          <w:b/>
          <w:bCs/>
          <w:lang w:val="en-GB"/>
        </w:rPr>
        <w:t>:</w:t>
      </w:r>
      <w:r w:rsidRPr="00024CFE">
        <w:rPr>
          <w:lang w:val="en-GB"/>
        </w:rPr>
        <w:t xml:space="preserve"> $</w:t>
      </w:r>
      <w:r w:rsidR="00BD2E4D">
        <w:rPr>
          <w:lang w:val="en-GB"/>
        </w:rPr>
        <w:t>2</w:t>
      </w:r>
      <w:r w:rsidRPr="00024CFE">
        <w:rPr>
          <w:lang w:val="en-GB"/>
        </w:rPr>
        <w:t>,</w:t>
      </w:r>
      <w:r w:rsidR="00BD2E4D">
        <w:rPr>
          <w:lang w:val="en-GB"/>
        </w:rPr>
        <w:t>273,008</w:t>
      </w:r>
    </w:p>
    <w:p w14:paraId="139A74A0" w14:textId="43ECC107" w:rsidR="00E55861" w:rsidRPr="00E55861" w:rsidRDefault="00E55861" w:rsidP="00E55861">
      <w:pPr>
        <w:rPr>
          <w:b/>
          <w:bCs/>
          <w:lang w:val="en-GB"/>
        </w:rPr>
      </w:pPr>
      <w:r w:rsidRPr="00E55861">
        <w:rPr>
          <w:b/>
          <w:bCs/>
          <w:lang w:val="en-GB"/>
        </w:rPr>
        <w:t>Strategic Recommendations:</w:t>
      </w:r>
    </w:p>
    <w:p w14:paraId="2778C889" w14:textId="393513D2" w:rsidR="00E55861" w:rsidRPr="00E55861" w:rsidRDefault="00E55861" w:rsidP="00E55861">
      <w:pPr>
        <w:numPr>
          <w:ilvl w:val="0"/>
          <w:numId w:val="34"/>
        </w:numPr>
        <w:rPr>
          <w:lang w:val="en-GB"/>
        </w:rPr>
      </w:pPr>
      <w:r w:rsidRPr="00E55861">
        <w:rPr>
          <w:lang w:val="en-GB"/>
        </w:rPr>
        <w:t>Strengthen Top Customer Retention with Tailored Account Strategies</w:t>
      </w:r>
    </w:p>
    <w:p w14:paraId="5FB20244" w14:textId="01BF6D31" w:rsidR="00E55861" w:rsidRPr="00E55861" w:rsidRDefault="00E55861" w:rsidP="00E55861">
      <w:pPr>
        <w:numPr>
          <w:ilvl w:val="1"/>
          <w:numId w:val="34"/>
        </w:numPr>
        <w:rPr>
          <w:lang w:val="en-GB"/>
        </w:rPr>
      </w:pPr>
      <w:r w:rsidRPr="00E55861">
        <w:rPr>
          <w:lang w:val="en-GB"/>
        </w:rPr>
        <w:t>Implement high-touch engagement programs for key accounts to enhance loyalty and prevent competitor penetration.</w:t>
      </w:r>
    </w:p>
    <w:p w14:paraId="4B0DC404" w14:textId="77777777" w:rsidR="00E55861" w:rsidRPr="00E55861" w:rsidRDefault="00E55861" w:rsidP="00E55861">
      <w:pPr>
        <w:numPr>
          <w:ilvl w:val="1"/>
          <w:numId w:val="34"/>
        </w:numPr>
        <w:rPr>
          <w:lang w:val="en-GB"/>
        </w:rPr>
      </w:pPr>
      <w:r w:rsidRPr="00E55861">
        <w:rPr>
          <w:lang w:val="en-GB"/>
        </w:rPr>
        <w:lastRenderedPageBreak/>
        <w:t>Leverage historical purchasing patterns to anticipate future demand and proactively offer tailored solutions.</w:t>
      </w:r>
    </w:p>
    <w:p w14:paraId="6A25BB12" w14:textId="77777777" w:rsidR="00E55861" w:rsidRPr="00E55861" w:rsidRDefault="00E55861" w:rsidP="00E55861">
      <w:pPr>
        <w:numPr>
          <w:ilvl w:val="0"/>
          <w:numId w:val="34"/>
        </w:numPr>
        <w:rPr>
          <w:b/>
          <w:bCs/>
          <w:lang w:val="en-GB"/>
        </w:rPr>
      </w:pPr>
      <w:r w:rsidRPr="00E55861">
        <w:rPr>
          <w:b/>
          <w:bCs/>
          <w:lang w:val="en-GB"/>
        </w:rPr>
        <w:t>Drive Upselling &amp; Expansion via STP (Segmentation, Targeting, Positioning)</w:t>
      </w:r>
    </w:p>
    <w:p w14:paraId="448697C7" w14:textId="77777777" w:rsidR="00E55861" w:rsidRPr="00E55861" w:rsidRDefault="00E55861" w:rsidP="00E55861">
      <w:pPr>
        <w:numPr>
          <w:ilvl w:val="1"/>
          <w:numId w:val="34"/>
        </w:numPr>
        <w:rPr>
          <w:lang w:val="en-GB"/>
        </w:rPr>
      </w:pPr>
      <w:r w:rsidRPr="00E55861">
        <w:rPr>
          <w:lang w:val="en-GB"/>
        </w:rPr>
        <w:t>Identify cross-sell and upsell opportunities based on product adoption trends within these accounts.</w:t>
      </w:r>
    </w:p>
    <w:p w14:paraId="7A7978E4" w14:textId="77777777" w:rsidR="00E55861" w:rsidRPr="00E55861" w:rsidRDefault="00E55861" w:rsidP="00E55861">
      <w:pPr>
        <w:numPr>
          <w:ilvl w:val="1"/>
          <w:numId w:val="34"/>
        </w:numPr>
        <w:rPr>
          <w:lang w:val="en-GB"/>
        </w:rPr>
      </w:pPr>
      <w:r w:rsidRPr="00E55861">
        <w:rPr>
          <w:lang w:val="en-GB"/>
        </w:rPr>
        <w:t>Introduce exclusive service tiers, volume-based discounts, or early-access to new product lines to maximize account value.</w:t>
      </w:r>
    </w:p>
    <w:p w14:paraId="211FCD99" w14:textId="77777777" w:rsidR="00E55861" w:rsidRPr="00E55861" w:rsidRDefault="00E55861" w:rsidP="00E55861">
      <w:pPr>
        <w:numPr>
          <w:ilvl w:val="0"/>
          <w:numId w:val="34"/>
        </w:numPr>
        <w:rPr>
          <w:b/>
          <w:bCs/>
          <w:lang w:val="en-GB"/>
        </w:rPr>
      </w:pPr>
      <w:r w:rsidRPr="00E55861">
        <w:rPr>
          <w:b/>
          <w:bCs/>
          <w:lang w:val="en-GB"/>
        </w:rPr>
        <w:t>Enhance Customer Experience &amp; Incentives</w:t>
      </w:r>
    </w:p>
    <w:p w14:paraId="5C1F2957" w14:textId="77777777" w:rsidR="00E55861" w:rsidRPr="00E55861" w:rsidRDefault="00E55861" w:rsidP="00E55861">
      <w:pPr>
        <w:numPr>
          <w:ilvl w:val="1"/>
          <w:numId w:val="34"/>
        </w:numPr>
        <w:rPr>
          <w:lang w:val="en-GB"/>
        </w:rPr>
      </w:pPr>
      <w:r w:rsidRPr="00E55861">
        <w:rPr>
          <w:lang w:val="en-GB"/>
        </w:rPr>
        <w:t>Offer dedicated relationship managers or specialized support for top-tier customers.</w:t>
      </w:r>
    </w:p>
    <w:p w14:paraId="3281E8BD" w14:textId="77777777" w:rsidR="00E55861" w:rsidRPr="00E55861" w:rsidRDefault="00E55861" w:rsidP="00E55861">
      <w:pPr>
        <w:numPr>
          <w:ilvl w:val="1"/>
          <w:numId w:val="34"/>
        </w:numPr>
        <w:rPr>
          <w:lang w:val="en-GB"/>
        </w:rPr>
      </w:pPr>
      <w:r w:rsidRPr="00E55861">
        <w:rPr>
          <w:lang w:val="en-GB"/>
        </w:rPr>
        <w:t>Introduce strategic long-term contracts or rebates to ensure ongoing engagement and commitment.</w:t>
      </w:r>
    </w:p>
    <w:p w14:paraId="143505BC" w14:textId="3CCA7759" w:rsidR="00024CFE" w:rsidRPr="00024CFE" w:rsidRDefault="00024CFE" w:rsidP="00E55861">
      <w:pPr>
        <w:rPr>
          <w:lang w:val="en-GB"/>
        </w:rPr>
      </w:pPr>
    </w:p>
    <w:p w14:paraId="5129B3D8" w14:textId="77777777" w:rsidR="00024CFE" w:rsidRPr="00024CFE" w:rsidRDefault="00024CFE" w:rsidP="00024CFE">
      <w:pPr>
        <w:rPr>
          <w:b/>
          <w:bCs/>
          <w:lang w:val="en-GB"/>
        </w:rPr>
      </w:pPr>
      <w:r w:rsidRPr="00024CFE">
        <w:rPr>
          <w:b/>
          <w:bCs/>
          <w:lang w:val="en-GB"/>
        </w:rPr>
        <w:t>6. Market Trends &amp; Competitive Positioning</w:t>
      </w:r>
    </w:p>
    <w:p w14:paraId="1F2075DB" w14:textId="69655688" w:rsidR="005357C7" w:rsidRDefault="005357C7" w:rsidP="005357C7">
      <w:pPr>
        <w:rPr>
          <w:lang w:val="en-GB"/>
        </w:rPr>
      </w:pPr>
      <w:r w:rsidRPr="005357C7">
        <w:rPr>
          <w:lang w:val="en-GB"/>
        </w:rPr>
        <w:t>The company maintains a strong presence in key European markets, though competitive dynamics vary significantly.</w:t>
      </w:r>
      <w:r>
        <w:rPr>
          <w:lang w:val="en-GB"/>
        </w:rPr>
        <w:t xml:space="preserve"> </w:t>
      </w:r>
      <w:r w:rsidRPr="005357C7">
        <w:rPr>
          <w:lang w:val="en-GB"/>
        </w:rPr>
        <w:t>Certain regions require defensive strategies, while others present opportunities for targeted expansion.</w:t>
      </w:r>
    </w:p>
    <w:p w14:paraId="6891293D" w14:textId="67A77AD7" w:rsidR="00813486" w:rsidRPr="00813486" w:rsidRDefault="00813486" w:rsidP="005357C7">
      <w:pPr>
        <w:rPr>
          <w:b/>
          <w:bCs/>
          <w:lang w:val="en-GB"/>
        </w:rPr>
      </w:pPr>
      <w:r w:rsidRPr="00813486">
        <w:rPr>
          <w:b/>
          <w:bCs/>
          <w:lang w:val="en-GB"/>
        </w:rPr>
        <w:t>Market-Specific Strategic Insights</w:t>
      </w:r>
    </w:p>
    <w:p w14:paraId="23E7F49D" w14:textId="77777777" w:rsidR="00813486" w:rsidRPr="00813486" w:rsidRDefault="00813486" w:rsidP="00813486">
      <w:pPr>
        <w:numPr>
          <w:ilvl w:val="0"/>
          <w:numId w:val="35"/>
        </w:numPr>
        <w:rPr>
          <w:b/>
          <w:bCs/>
          <w:lang w:val="en-GB"/>
        </w:rPr>
      </w:pPr>
      <w:r w:rsidRPr="00813486">
        <w:rPr>
          <w:b/>
          <w:bCs/>
          <w:lang w:val="en-GB"/>
        </w:rPr>
        <w:t>Germany &amp; Switzerland: Market Recovery Priorities</w:t>
      </w:r>
    </w:p>
    <w:p w14:paraId="149FE149" w14:textId="77777777" w:rsidR="00813486" w:rsidRPr="00813486" w:rsidRDefault="00813486" w:rsidP="00813486">
      <w:pPr>
        <w:numPr>
          <w:ilvl w:val="1"/>
          <w:numId w:val="35"/>
        </w:numPr>
        <w:rPr>
          <w:lang w:val="en-GB"/>
        </w:rPr>
      </w:pPr>
      <w:r w:rsidRPr="00813486">
        <w:rPr>
          <w:lang w:val="en-GB"/>
        </w:rPr>
        <w:t>Germany (36.06% share) and Switzerland (36.55%) face high competitive pressure.</w:t>
      </w:r>
    </w:p>
    <w:p w14:paraId="5492747A" w14:textId="77777777" w:rsidR="00813486" w:rsidRPr="00813486" w:rsidRDefault="00813486" w:rsidP="00813486">
      <w:pPr>
        <w:numPr>
          <w:ilvl w:val="1"/>
          <w:numId w:val="35"/>
        </w:numPr>
        <w:rPr>
          <w:b/>
          <w:bCs/>
          <w:lang w:val="en-GB"/>
        </w:rPr>
      </w:pPr>
      <w:r w:rsidRPr="00813486">
        <w:rPr>
          <w:b/>
          <w:bCs/>
          <w:lang w:val="en-GB"/>
        </w:rPr>
        <w:t>Action Plan:</w:t>
      </w:r>
    </w:p>
    <w:p w14:paraId="118B46B0" w14:textId="77777777" w:rsidR="00813486" w:rsidRPr="00813486" w:rsidRDefault="00813486" w:rsidP="00813486">
      <w:pPr>
        <w:numPr>
          <w:ilvl w:val="2"/>
          <w:numId w:val="35"/>
        </w:numPr>
        <w:rPr>
          <w:lang w:val="en-GB"/>
        </w:rPr>
      </w:pPr>
      <w:r w:rsidRPr="00813486">
        <w:rPr>
          <w:lang w:val="en-GB"/>
        </w:rPr>
        <w:t>Reassess pricing strategies to improve cost competitiveness without compromising margins.</w:t>
      </w:r>
    </w:p>
    <w:p w14:paraId="272383AA" w14:textId="77777777" w:rsidR="00813486" w:rsidRPr="00813486" w:rsidRDefault="00813486" w:rsidP="00813486">
      <w:pPr>
        <w:numPr>
          <w:ilvl w:val="2"/>
          <w:numId w:val="35"/>
        </w:numPr>
        <w:rPr>
          <w:lang w:val="en-GB"/>
        </w:rPr>
      </w:pPr>
      <w:r w:rsidRPr="00813486">
        <w:rPr>
          <w:lang w:val="en-GB"/>
        </w:rPr>
        <w:t>Strengthen distributor partnerships and refine localized go-to-market execution.</w:t>
      </w:r>
    </w:p>
    <w:p w14:paraId="187ECD4D" w14:textId="04B51527" w:rsidR="00813486" w:rsidRPr="00813486" w:rsidRDefault="00813486" w:rsidP="00813486">
      <w:pPr>
        <w:numPr>
          <w:ilvl w:val="2"/>
          <w:numId w:val="35"/>
        </w:numPr>
        <w:rPr>
          <w:lang w:val="en-GB"/>
        </w:rPr>
      </w:pPr>
      <w:r w:rsidRPr="00813486">
        <w:rPr>
          <w:lang w:val="en-GB"/>
        </w:rPr>
        <w:t xml:space="preserve">Implement differentiated value propositions (e.g., faster </w:t>
      </w:r>
      <w:r w:rsidR="00541D07" w:rsidRPr="00813486">
        <w:rPr>
          <w:lang w:val="en-GB"/>
        </w:rPr>
        <w:t>fulfilment</w:t>
      </w:r>
      <w:r w:rsidRPr="00813486">
        <w:rPr>
          <w:lang w:val="en-GB"/>
        </w:rPr>
        <w:t>, personalized support).</w:t>
      </w:r>
    </w:p>
    <w:p w14:paraId="5396D3D2" w14:textId="77777777" w:rsidR="00813486" w:rsidRPr="00813486" w:rsidRDefault="00813486" w:rsidP="00813486">
      <w:pPr>
        <w:numPr>
          <w:ilvl w:val="0"/>
          <w:numId w:val="35"/>
        </w:numPr>
        <w:rPr>
          <w:b/>
          <w:bCs/>
          <w:lang w:val="en-GB"/>
        </w:rPr>
      </w:pPr>
      <w:r w:rsidRPr="00813486">
        <w:rPr>
          <w:b/>
          <w:bCs/>
          <w:lang w:val="en-GB"/>
        </w:rPr>
        <w:t>Spain &amp; Italy: Strongholds for Expansion</w:t>
      </w:r>
    </w:p>
    <w:p w14:paraId="5C48F8C1" w14:textId="77777777" w:rsidR="00813486" w:rsidRPr="00813486" w:rsidRDefault="00813486" w:rsidP="00813486">
      <w:pPr>
        <w:numPr>
          <w:ilvl w:val="1"/>
          <w:numId w:val="35"/>
        </w:numPr>
        <w:rPr>
          <w:lang w:val="en-GB"/>
        </w:rPr>
      </w:pPr>
      <w:r w:rsidRPr="00813486">
        <w:rPr>
          <w:lang w:val="en-GB"/>
        </w:rPr>
        <w:t>Spain (46.42%) and Italy (44.16%) remain strong revenue drivers with growth potential.</w:t>
      </w:r>
    </w:p>
    <w:p w14:paraId="767BD94E" w14:textId="77777777" w:rsidR="00813486" w:rsidRPr="00813486" w:rsidRDefault="00813486" w:rsidP="00813486">
      <w:pPr>
        <w:numPr>
          <w:ilvl w:val="1"/>
          <w:numId w:val="35"/>
        </w:numPr>
        <w:rPr>
          <w:b/>
          <w:bCs/>
          <w:lang w:val="en-GB"/>
        </w:rPr>
      </w:pPr>
      <w:r w:rsidRPr="00813486">
        <w:rPr>
          <w:b/>
          <w:bCs/>
          <w:lang w:val="en-GB"/>
        </w:rPr>
        <w:lastRenderedPageBreak/>
        <w:t>Action Plan:</w:t>
      </w:r>
    </w:p>
    <w:p w14:paraId="084C7356" w14:textId="77777777" w:rsidR="00813486" w:rsidRPr="00813486" w:rsidRDefault="00813486" w:rsidP="00813486">
      <w:pPr>
        <w:numPr>
          <w:ilvl w:val="2"/>
          <w:numId w:val="35"/>
        </w:numPr>
        <w:rPr>
          <w:lang w:val="en-GB"/>
        </w:rPr>
      </w:pPr>
      <w:r w:rsidRPr="00813486">
        <w:rPr>
          <w:lang w:val="en-GB"/>
        </w:rPr>
        <w:t>Expand local salesforce coverage to penetrate untapped customer segments.</w:t>
      </w:r>
    </w:p>
    <w:p w14:paraId="77F1503A" w14:textId="77777777" w:rsidR="00813486" w:rsidRPr="00813486" w:rsidRDefault="00813486" w:rsidP="00813486">
      <w:pPr>
        <w:numPr>
          <w:ilvl w:val="2"/>
          <w:numId w:val="35"/>
        </w:numPr>
        <w:rPr>
          <w:lang w:val="en-GB"/>
        </w:rPr>
      </w:pPr>
      <w:r w:rsidRPr="00813486">
        <w:rPr>
          <w:lang w:val="en-GB"/>
        </w:rPr>
        <w:t>Invest in localized marketing initiatives to reinforce brand dominance.</w:t>
      </w:r>
    </w:p>
    <w:p w14:paraId="7F9FC4CA" w14:textId="77777777" w:rsidR="00813486" w:rsidRPr="00813486" w:rsidRDefault="00813486" w:rsidP="00813486">
      <w:pPr>
        <w:numPr>
          <w:ilvl w:val="2"/>
          <w:numId w:val="35"/>
        </w:numPr>
        <w:rPr>
          <w:lang w:val="en-GB"/>
        </w:rPr>
      </w:pPr>
      <w:r w:rsidRPr="00813486">
        <w:rPr>
          <w:lang w:val="en-GB"/>
        </w:rPr>
        <w:t>Strengthen relationships with key healthcare providers and government buyers.</w:t>
      </w:r>
    </w:p>
    <w:p w14:paraId="2F4D862D" w14:textId="77777777" w:rsidR="00813486" w:rsidRPr="00813486" w:rsidRDefault="00813486" w:rsidP="00813486">
      <w:pPr>
        <w:numPr>
          <w:ilvl w:val="0"/>
          <w:numId w:val="35"/>
        </w:numPr>
        <w:rPr>
          <w:b/>
          <w:bCs/>
          <w:lang w:val="en-GB"/>
        </w:rPr>
      </w:pPr>
      <w:r w:rsidRPr="00813486">
        <w:rPr>
          <w:b/>
          <w:bCs/>
          <w:lang w:val="en-GB"/>
        </w:rPr>
        <w:t>Belgium &amp; France: High-Value Growth Markets</w:t>
      </w:r>
    </w:p>
    <w:p w14:paraId="4C212B83" w14:textId="77777777" w:rsidR="00813486" w:rsidRPr="00813486" w:rsidRDefault="00813486" w:rsidP="00813486">
      <w:pPr>
        <w:numPr>
          <w:ilvl w:val="1"/>
          <w:numId w:val="35"/>
        </w:numPr>
        <w:rPr>
          <w:b/>
          <w:bCs/>
          <w:lang w:val="en-GB"/>
        </w:rPr>
      </w:pPr>
      <w:r w:rsidRPr="00813486">
        <w:rPr>
          <w:b/>
          <w:bCs/>
          <w:lang w:val="en-GB"/>
        </w:rPr>
        <w:t>Belgium (40.40%) and France (41.50%) present substantial opportunities for further market penetration.</w:t>
      </w:r>
    </w:p>
    <w:p w14:paraId="2F8F1F27" w14:textId="77777777" w:rsidR="00813486" w:rsidRPr="00813486" w:rsidRDefault="00813486" w:rsidP="00813486">
      <w:pPr>
        <w:numPr>
          <w:ilvl w:val="1"/>
          <w:numId w:val="35"/>
        </w:numPr>
        <w:rPr>
          <w:b/>
          <w:bCs/>
          <w:lang w:val="en-GB"/>
        </w:rPr>
      </w:pPr>
      <w:r w:rsidRPr="00813486">
        <w:rPr>
          <w:b/>
          <w:bCs/>
          <w:lang w:val="en-GB"/>
        </w:rPr>
        <w:t>Action Plan:</w:t>
      </w:r>
    </w:p>
    <w:p w14:paraId="20AAD77D" w14:textId="77777777" w:rsidR="00813486" w:rsidRPr="00813486" w:rsidRDefault="00813486" w:rsidP="00813486">
      <w:pPr>
        <w:numPr>
          <w:ilvl w:val="2"/>
          <w:numId w:val="35"/>
        </w:numPr>
        <w:rPr>
          <w:lang w:val="en-GB"/>
        </w:rPr>
      </w:pPr>
      <w:r w:rsidRPr="00813486">
        <w:rPr>
          <w:lang w:val="en-GB"/>
        </w:rPr>
        <w:t>Refine segmentation strategies to focus on high-value customer acquisition.</w:t>
      </w:r>
    </w:p>
    <w:p w14:paraId="5519925A" w14:textId="77777777" w:rsidR="00813486" w:rsidRPr="00813486" w:rsidRDefault="00813486" w:rsidP="00813486">
      <w:pPr>
        <w:numPr>
          <w:ilvl w:val="2"/>
          <w:numId w:val="35"/>
        </w:numPr>
        <w:rPr>
          <w:lang w:val="en-GB"/>
        </w:rPr>
      </w:pPr>
      <w:r w:rsidRPr="00813486">
        <w:rPr>
          <w:lang w:val="en-GB"/>
        </w:rPr>
        <w:t>Enhance commercial execution by boosting sales team effectiveness in these regions.</w:t>
      </w:r>
    </w:p>
    <w:p w14:paraId="51106C86" w14:textId="77777777" w:rsidR="00813486" w:rsidRPr="00813486" w:rsidRDefault="00813486" w:rsidP="00813486">
      <w:pPr>
        <w:numPr>
          <w:ilvl w:val="2"/>
          <w:numId w:val="35"/>
        </w:numPr>
        <w:rPr>
          <w:lang w:val="en-GB"/>
        </w:rPr>
      </w:pPr>
      <w:r w:rsidRPr="00813486">
        <w:rPr>
          <w:lang w:val="en-GB"/>
        </w:rPr>
        <w:t>Introduce tailored incentive structures for distributors to drive higher sell-through rates.</w:t>
      </w:r>
    </w:p>
    <w:p w14:paraId="7E2024BF" w14:textId="77777777" w:rsidR="00813486" w:rsidRPr="00813486" w:rsidRDefault="00813486" w:rsidP="00813486">
      <w:pPr>
        <w:numPr>
          <w:ilvl w:val="0"/>
          <w:numId w:val="35"/>
        </w:numPr>
        <w:rPr>
          <w:b/>
          <w:bCs/>
          <w:lang w:val="en-GB"/>
        </w:rPr>
      </w:pPr>
      <w:r w:rsidRPr="00813486">
        <w:rPr>
          <w:b/>
          <w:bCs/>
          <w:lang w:val="en-GB"/>
        </w:rPr>
        <w:t>Stable Markets: UK, Netherlands, Austria &amp; Sweden</w:t>
      </w:r>
    </w:p>
    <w:p w14:paraId="322EABF3" w14:textId="77777777" w:rsidR="00813486" w:rsidRPr="00813486" w:rsidRDefault="00813486" w:rsidP="00813486">
      <w:pPr>
        <w:numPr>
          <w:ilvl w:val="1"/>
          <w:numId w:val="35"/>
        </w:numPr>
        <w:rPr>
          <w:lang w:val="en-GB"/>
        </w:rPr>
      </w:pPr>
      <w:r w:rsidRPr="00813486">
        <w:rPr>
          <w:lang w:val="en-GB"/>
        </w:rPr>
        <w:t>Performance in these regions remains steady, with moderate growth potential.</w:t>
      </w:r>
    </w:p>
    <w:p w14:paraId="438746CB" w14:textId="77777777" w:rsidR="00813486" w:rsidRPr="00813486" w:rsidRDefault="00813486" w:rsidP="00813486">
      <w:pPr>
        <w:numPr>
          <w:ilvl w:val="1"/>
          <w:numId w:val="35"/>
        </w:numPr>
        <w:rPr>
          <w:b/>
          <w:bCs/>
          <w:lang w:val="en-GB"/>
        </w:rPr>
      </w:pPr>
      <w:r w:rsidRPr="00813486">
        <w:rPr>
          <w:b/>
          <w:bCs/>
          <w:lang w:val="en-GB"/>
        </w:rPr>
        <w:t>Action Plan:</w:t>
      </w:r>
    </w:p>
    <w:p w14:paraId="37B3B875" w14:textId="77777777" w:rsidR="00813486" w:rsidRPr="00813486" w:rsidRDefault="00813486" w:rsidP="00813486">
      <w:pPr>
        <w:numPr>
          <w:ilvl w:val="2"/>
          <w:numId w:val="35"/>
        </w:numPr>
        <w:rPr>
          <w:lang w:val="en-GB"/>
        </w:rPr>
      </w:pPr>
      <w:r w:rsidRPr="00813486">
        <w:rPr>
          <w:lang w:val="en-GB"/>
        </w:rPr>
        <w:t>Maintain and fine-tune customer retention programs.</w:t>
      </w:r>
    </w:p>
    <w:p w14:paraId="04B82AC3" w14:textId="77777777" w:rsidR="00813486" w:rsidRPr="00813486" w:rsidRDefault="00813486" w:rsidP="00813486">
      <w:pPr>
        <w:numPr>
          <w:ilvl w:val="2"/>
          <w:numId w:val="35"/>
        </w:numPr>
        <w:rPr>
          <w:lang w:val="en-GB"/>
        </w:rPr>
      </w:pPr>
      <w:r w:rsidRPr="00813486">
        <w:rPr>
          <w:lang w:val="en-GB"/>
        </w:rPr>
        <w:t>Optimize logistics and distribution to reduce lead times and increase service levels.</w:t>
      </w:r>
    </w:p>
    <w:p w14:paraId="284D2E8B" w14:textId="77777777" w:rsidR="00813486" w:rsidRPr="00813486" w:rsidRDefault="00813486" w:rsidP="00813486">
      <w:pPr>
        <w:numPr>
          <w:ilvl w:val="2"/>
          <w:numId w:val="35"/>
        </w:numPr>
        <w:rPr>
          <w:lang w:val="en-GB"/>
        </w:rPr>
      </w:pPr>
      <w:r w:rsidRPr="00813486">
        <w:rPr>
          <w:lang w:val="en-GB"/>
        </w:rPr>
        <w:t>Identify small-scale operational improvements to incrementally increase market share.</w:t>
      </w:r>
    </w:p>
    <w:p w14:paraId="307D969D" w14:textId="33FF4AB6" w:rsidR="00024CFE" w:rsidRPr="00024CFE" w:rsidRDefault="00024CFE" w:rsidP="00813486">
      <w:pPr>
        <w:rPr>
          <w:b/>
          <w:bCs/>
          <w:lang w:val="en-GB"/>
        </w:rPr>
      </w:pPr>
      <w:r w:rsidRPr="00024CFE">
        <w:rPr>
          <w:b/>
          <w:bCs/>
          <w:lang w:val="en-GB"/>
        </w:rPr>
        <w:t>7. Strategic Recommendations</w:t>
      </w:r>
    </w:p>
    <w:p w14:paraId="7D4D948C" w14:textId="77777777" w:rsidR="008B264B" w:rsidRPr="008B264B" w:rsidRDefault="008B264B" w:rsidP="008B264B">
      <w:pPr>
        <w:rPr>
          <w:b/>
          <w:bCs/>
          <w:lang w:val="en-GB"/>
        </w:rPr>
      </w:pPr>
      <w:r w:rsidRPr="008B264B">
        <w:rPr>
          <w:b/>
          <w:bCs/>
          <w:lang w:val="en-GB"/>
        </w:rPr>
        <w:t>Short-Term Priorities (Next 3-6 Months)</w:t>
      </w:r>
    </w:p>
    <w:p w14:paraId="2448BA32" w14:textId="77777777" w:rsidR="008B264B" w:rsidRPr="008B264B" w:rsidRDefault="008B264B" w:rsidP="008B264B">
      <w:pPr>
        <w:numPr>
          <w:ilvl w:val="0"/>
          <w:numId w:val="36"/>
        </w:numPr>
        <w:rPr>
          <w:b/>
          <w:bCs/>
          <w:lang w:val="en-GB"/>
        </w:rPr>
      </w:pPr>
      <w:r w:rsidRPr="008B264B">
        <w:rPr>
          <w:b/>
          <w:bCs/>
          <w:lang w:val="en-GB"/>
        </w:rPr>
        <w:t>Market-Specific Growth Acceleration</w:t>
      </w:r>
    </w:p>
    <w:p w14:paraId="151BC30B" w14:textId="77777777" w:rsidR="008B264B" w:rsidRPr="008B264B" w:rsidRDefault="008B264B" w:rsidP="008B264B">
      <w:pPr>
        <w:numPr>
          <w:ilvl w:val="1"/>
          <w:numId w:val="36"/>
        </w:numPr>
        <w:rPr>
          <w:lang w:val="en-GB"/>
        </w:rPr>
      </w:pPr>
      <w:r w:rsidRPr="008B264B">
        <w:rPr>
          <w:lang w:val="en-GB"/>
        </w:rPr>
        <w:t>Deploy localized expansion strategies in Belgium, France, Spain, and Italy while refining positioning in Germany &amp; Switzerland.</w:t>
      </w:r>
    </w:p>
    <w:p w14:paraId="65163D48" w14:textId="77777777" w:rsidR="008B264B" w:rsidRPr="008B264B" w:rsidRDefault="008B264B" w:rsidP="008B264B">
      <w:pPr>
        <w:numPr>
          <w:ilvl w:val="0"/>
          <w:numId w:val="36"/>
        </w:numPr>
        <w:rPr>
          <w:b/>
          <w:bCs/>
          <w:lang w:val="en-GB"/>
        </w:rPr>
      </w:pPr>
      <w:r w:rsidRPr="008B264B">
        <w:rPr>
          <w:b/>
          <w:bCs/>
          <w:lang w:val="en-GB"/>
        </w:rPr>
        <w:lastRenderedPageBreak/>
        <w:t>Customer Retention &amp; High-Value Growth</w:t>
      </w:r>
    </w:p>
    <w:p w14:paraId="2139ED84" w14:textId="77777777" w:rsidR="008B264B" w:rsidRPr="008B264B" w:rsidRDefault="008B264B" w:rsidP="008B264B">
      <w:pPr>
        <w:numPr>
          <w:ilvl w:val="1"/>
          <w:numId w:val="36"/>
        </w:numPr>
        <w:rPr>
          <w:lang w:val="en-GB"/>
        </w:rPr>
      </w:pPr>
      <w:r w:rsidRPr="008B264B">
        <w:rPr>
          <w:lang w:val="en-GB"/>
        </w:rPr>
        <w:t>Implement a high-engagement model for top-tier customers, ensuring proactive relationship management.</w:t>
      </w:r>
    </w:p>
    <w:p w14:paraId="4659AC2E" w14:textId="77777777" w:rsidR="008B264B" w:rsidRPr="008B264B" w:rsidRDefault="008B264B" w:rsidP="008B264B">
      <w:pPr>
        <w:numPr>
          <w:ilvl w:val="0"/>
          <w:numId w:val="36"/>
        </w:numPr>
        <w:rPr>
          <w:b/>
          <w:bCs/>
          <w:lang w:val="en-GB"/>
        </w:rPr>
      </w:pPr>
      <w:r w:rsidRPr="008B264B">
        <w:rPr>
          <w:b/>
          <w:bCs/>
          <w:lang w:val="en-GB"/>
        </w:rPr>
        <w:t>Product &amp; Pricing Strategy Optimization</w:t>
      </w:r>
    </w:p>
    <w:p w14:paraId="792F48A2" w14:textId="77777777" w:rsidR="008B264B" w:rsidRPr="008B264B" w:rsidRDefault="008B264B" w:rsidP="008B264B">
      <w:pPr>
        <w:numPr>
          <w:ilvl w:val="1"/>
          <w:numId w:val="36"/>
        </w:numPr>
        <w:rPr>
          <w:lang w:val="en-GB"/>
        </w:rPr>
      </w:pPr>
      <w:r w:rsidRPr="008B264B">
        <w:rPr>
          <w:lang w:val="en-GB"/>
        </w:rPr>
        <w:t>Ensure top-performing products remain competitive by dynamically adjusting pricing and inventory distribution based on real-time market insights.</w:t>
      </w:r>
    </w:p>
    <w:p w14:paraId="689947B7" w14:textId="069484EF" w:rsidR="005007E7" w:rsidRPr="00992541" w:rsidRDefault="005007E7" w:rsidP="00992541">
      <w:pPr>
        <w:rPr>
          <w:lang w:val="en-GB"/>
        </w:rPr>
      </w:pPr>
    </w:p>
    <w:sectPr w:rsidR="005007E7" w:rsidRPr="009925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DA4A51"/>
    <w:multiLevelType w:val="multilevel"/>
    <w:tmpl w:val="8B2A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5C662D"/>
    <w:multiLevelType w:val="multilevel"/>
    <w:tmpl w:val="3D86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C27EFB"/>
    <w:multiLevelType w:val="multilevel"/>
    <w:tmpl w:val="7ED4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220BB"/>
    <w:multiLevelType w:val="hybridMultilevel"/>
    <w:tmpl w:val="A186F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C239BB"/>
    <w:multiLevelType w:val="multilevel"/>
    <w:tmpl w:val="059C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C6064F"/>
    <w:multiLevelType w:val="multilevel"/>
    <w:tmpl w:val="6EBC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D0C27"/>
    <w:multiLevelType w:val="multilevel"/>
    <w:tmpl w:val="DBAA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27FA2"/>
    <w:multiLevelType w:val="multilevel"/>
    <w:tmpl w:val="83E67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5E0315"/>
    <w:multiLevelType w:val="multilevel"/>
    <w:tmpl w:val="B87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F4441"/>
    <w:multiLevelType w:val="multilevel"/>
    <w:tmpl w:val="49189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964ACD"/>
    <w:multiLevelType w:val="multilevel"/>
    <w:tmpl w:val="9DFE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42A9F"/>
    <w:multiLevelType w:val="multilevel"/>
    <w:tmpl w:val="897E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AD3814"/>
    <w:multiLevelType w:val="multilevel"/>
    <w:tmpl w:val="1A0E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F137B"/>
    <w:multiLevelType w:val="multilevel"/>
    <w:tmpl w:val="27F4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136D7"/>
    <w:multiLevelType w:val="multilevel"/>
    <w:tmpl w:val="379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63677E"/>
    <w:multiLevelType w:val="multilevel"/>
    <w:tmpl w:val="3B92D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1968D2"/>
    <w:multiLevelType w:val="multilevel"/>
    <w:tmpl w:val="2B1E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EF03E2"/>
    <w:multiLevelType w:val="multilevel"/>
    <w:tmpl w:val="60728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4F59FD"/>
    <w:multiLevelType w:val="multilevel"/>
    <w:tmpl w:val="FF6EC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C52F5A"/>
    <w:multiLevelType w:val="multilevel"/>
    <w:tmpl w:val="764A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D26B44"/>
    <w:multiLevelType w:val="multilevel"/>
    <w:tmpl w:val="9E5A8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091549"/>
    <w:multiLevelType w:val="multilevel"/>
    <w:tmpl w:val="945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71811"/>
    <w:multiLevelType w:val="multilevel"/>
    <w:tmpl w:val="10B4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3C6656"/>
    <w:multiLevelType w:val="multilevel"/>
    <w:tmpl w:val="6F1E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347ED7"/>
    <w:multiLevelType w:val="multilevel"/>
    <w:tmpl w:val="81B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7E6593"/>
    <w:multiLevelType w:val="multilevel"/>
    <w:tmpl w:val="F356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257F4"/>
    <w:multiLevelType w:val="multilevel"/>
    <w:tmpl w:val="D94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146549">
    <w:abstractNumId w:val="8"/>
  </w:num>
  <w:num w:numId="2" w16cid:durableId="719936772">
    <w:abstractNumId w:val="6"/>
  </w:num>
  <w:num w:numId="3" w16cid:durableId="1413311495">
    <w:abstractNumId w:val="5"/>
  </w:num>
  <w:num w:numId="4" w16cid:durableId="1457480647">
    <w:abstractNumId w:val="4"/>
  </w:num>
  <w:num w:numId="5" w16cid:durableId="242420137">
    <w:abstractNumId w:val="7"/>
  </w:num>
  <w:num w:numId="6" w16cid:durableId="1502038476">
    <w:abstractNumId w:val="3"/>
  </w:num>
  <w:num w:numId="7" w16cid:durableId="1074427351">
    <w:abstractNumId w:val="2"/>
  </w:num>
  <w:num w:numId="8" w16cid:durableId="587929173">
    <w:abstractNumId w:val="1"/>
  </w:num>
  <w:num w:numId="9" w16cid:durableId="1266688554">
    <w:abstractNumId w:val="0"/>
  </w:num>
  <w:num w:numId="10" w16cid:durableId="891889121">
    <w:abstractNumId w:val="24"/>
  </w:num>
  <w:num w:numId="11" w16cid:durableId="900217382">
    <w:abstractNumId w:val="11"/>
  </w:num>
  <w:num w:numId="12" w16cid:durableId="124083896">
    <w:abstractNumId w:val="9"/>
  </w:num>
  <w:num w:numId="13" w16cid:durableId="410583635">
    <w:abstractNumId w:val="35"/>
  </w:num>
  <w:num w:numId="14" w16cid:durableId="2062707083">
    <w:abstractNumId w:val="21"/>
  </w:num>
  <w:num w:numId="15" w16cid:durableId="192958899">
    <w:abstractNumId w:val="22"/>
  </w:num>
  <w:num w:numId="16" w16cid:durableId="597450974">
    <w:abstractNumId w:val="34"/>
  </w:num>
  <w:num w:numId="17" w16cid:durableId="796723736">
    <w:abstractNumId w:val="31"/>
  </w:num>
  <w:num w:numId="18" w16cid:durableId="1798067374">
    <w:abstractNumId w:val="33"/>
  </w:num>
  <w:num w:numId="19" w16cid:durableId="1581207477">
    <w:abstractNumId w:val="27"/>
  </w:num>
  <w:num w:numId="20" w16cid:durableId="603461723">
    <w:abstractNumId w:val="13"/>
  </w:num>
  <w:num w:numId="21" w16cid:durableId="269053199">
    <w:abstractNumId w:val="15"/>
  </w:num>
  <w:num w:numId="22" w16cid:durableId="447436844">
    <w:abstractNumId w:val="14"/>
  </w:num>
  <w:num w:numId="23" w16cid:durableId="298193294">
    <w:abstractNumId w:val="30"/>
  </w:num>
  <w:num w:numId="24" w16cid:durableId="839348643">
    <w:abstractNumId w:val="17"/>
  </w:num>
  <w:num w:numId="25" w16cid:durableId="52781958">
    <w:abstractNumId w:val="23"/>
  </w:num>
  <w:num w:numId="26" w16cid:durableId="640966167">
    <w:abstractNumId w:val="28"/>
  </w:num>
  <w:num w:numId="27" w16cid:durableId="1849784426">
    <w:abstractNumId w:val="32"/>
  </w:num>
  <w:num w:numId="28" w16cid:durableId="937444194">
    <w:abstractNumId w:val="25"/>
  </w:num>
  <w:num w:numId="29" w16cid:durableId="1919098252">
    <w:abstractNumId w:val="26"/>
  </w:num>
  <w:num w:numId="30" w16cid:durableId="269431963">
    <w:abstractNumId w:val="20"/>
  </w:num>
  <w:num w:numId="31" w16cid:durableId="1728841798">
    <w:abstractNumId w:val="12"/>
  </w:num>
  <w:num w:numId="32" w16cid:durableId="258947542">
    <w:abstractNumId w:val="19"/>
  </w:num>
  <w:num w:numId="33" w16cid:durableId="172377261">
    <w:abstractNumId w:val="10"/>
  </w:num>
  <w:num w:numId="34" w16cid:durableId="924458320">
    <w:abstractNumId w:val="16"/>
  </w:num>
  <w:num w:numId="35" w16cid:durableId="1389064672">
    <w:abstractNumId w:val="29"/>
  </w:num>
  <w:num w:numId="36" w16cid:durableId="2784917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CFE"/>
    <w:rsid w:val="00034616"/>
    <w:rsid w:val="0006063C"/>
    <w:rsid w:val="000C046D"/>
    <w:rsid w:val="0015074B"/>
    <w:rsid w:val="001B108F"/>
    <w:rsid w:val="00275D53"/>
    <w:rsid w:val="0029639D"/>
    <w:rsid w:val="00326F90"/>
    <w:rsid w:val="00395B89"/>
    <w:rsid w:val="00484A25"/>
    <w:rsid w:val="005007E7"/>
    <w:rsid w:val="00501648"/>
    <w:rsid w:val="005357C7"/>
    <w:rsid w:val="00541D07"/>
    <w:rsid w:val="00562FF6"/>
    <w:rsid w:val="005A4BBC"/>
    <w:rsid w:val="005E2653"/>
    <w:rsid w:val="006F3463"/>
    <w:rsid w:val="00704529"/>
    <w:rsid w:val="007143A2"/>
    <w:rsid w:val="00813486"/>
    <w:rsid w:val="00823CE9"/>
    <w:rsid w:val="008507DC"/>
    <w:rsid w:val="008B264B"/>
    <w:rsid w:val="009058EB"/>
    <w:rsid w:val="00937C11"/>
    <w:rsid w:val="0096617C"/>
    <w:rsid w:val="00992541"/>
    <w:rsid w:val="009A6F01"/>
    <w:rsid w:val="00A13215"/>
    <w:rsid w:val="00AA1D8D"/>
    <w:rsid w:val="00B313C5"/>
    <w:rsid w:val="00B47730"/>
    <w:rsid w:val="00BD2E4D"/>
    <w:rsid w:val="00C9299A"/>
    <w:rsid w:val="00CB0664"/>
    <w:rsid w:val="00CD7F72"/>
    <w:rsid w:val="00D67E30"/>
    <w:rsid w:val="00DF1D22"/>
    <w:rsid w:val="00DF679A"/>
    <w:rsid w:val="00E55861"/>
    <w:rsid w:val="00E973C2"/>
    <w:rsid w:val="00F61E96"/>
    <w:rsid w:val="00FB0D57"/>
    <w:rsid w:val="00FC693F"/>
    <w:rsid w:val="00FF6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0BE32"/>
  <w14:defaultImageDpi w14:val="300"/>
  <w15:docId w15:val="{AE3F9CD1-86E4-4F3A-853A-BC6FBDA3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6617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3362">
      <w:bodyDiv w:val="1"/>
      <w:marLeft w:val="0"/>
      <w:marRight w:val="0"/>
      <w:marTop w:val="0"/>
      <w:marBottom w:val="0"/>
      <w:divBdr>
        <w:top w:val="none" w:sz="0" w:space="0" w:color="auto"/>
        <w:left w:val="none" w:sz="0" w:space="0" w:color="auto"/>
        <w:bottom w:val="none" w:sz="0" w:space="0" w:color="auto"/>
        <w:right w:val="none" w:sz="0" w:space="0" w:color="auto"/>
      </w:divBdr>
    </w:div>
    <w:div w:id="61028950">
      <w:bodyDiv w:val="1"/>
      <w:marLeft w:val="0"/>
      <w:marRight w:val="0"/>
      <w:marTop w:val="0"/>
      <w:marBottom w:val="0"/>
      <w:divBdr>
        <w:top w:val="none" w:sz="0" w:space="0" w:color="auto"/>
        <w:left w:val="none" w:sz="0" w:space="0" w:color="auto"/>
        <w:bottom w:val="none" w:sz="0" w:space="0" w:color="auto"/>
        <w:right w:val="none" w:sz="0" w:space="0" w:color="auto"/>
      </w:divBdr>
    </w:div>
    <w:div w:id="83957191">
      <w:bodyDiv w:val="1"/>
      <w:marLeft w:val="0"/>
      <w:marRight w:val="0"/>
      <w:marTop w:val="0"/>
      <w:marBottom w:val="0"/>
      <w:divBdr>
        <w:top w:val="none" w:sz="0" w:space="0" w:color="auto"/>
        <w:left w:val="none" w:sz="0" w:space="0" w:color="auto"/>
        <w:bottom w:val="none" w:sz="0" w:space="0" w:color="auto"/>
        <w:right w:val="none" w:sz="0" w:space="0" w:color="auto"/>
      </w:divBdr>
    </w:div>
    <w:div w:id="165950456">
      <w:bodyDiv w:val="1"/>
      <w:marLeft w:val="0"/>
      <w:marRight w:val="0"/>
      <w:marTop w:val="0"/>
      <w:marBottom w:val="0"/>
      <w:divBdr>
        <w:top w:val="none" w:sz="0" w:space="0" w:color="auto"/>
        <w:left w:val="none" w:sz="0" w:space="0" w:color="auto"/>
        <w:bottom w:val="none" w:sz="0" w:space="0" w:color="auto"/>
        <w:right w:val="none" w:sz="0" w:space="0" w:color="auto"/>
      </w:divBdr>
    </w:div>
    <w:div w:id="212470083">
      <w:bodyDiv w:val="1"/>
      <w:marLeft w:val="0"/>
      <w:marRight w:val="0"/>
      <w:marTop w:val="0"/>
      <w:marBottom w:val="0"/>
      <w:divBdr>
        <w:top w:val="none" w:sz="0" w:space="0" w:color="auto"/>
        <w:left w:val="none" w:sz="0" w:space="0" w:color="auto"/>
        <w:bottom w:val="none" w:sz="0" w:space="0" w:color="auto"/>
        <w:right w:val="none" w:sz="0" w:space="0" w:color="auto"/>
      </w:divBdr>
    </w:div>
    <w:div w:id="342171937">
      <w:bodyDiv w:val="1"/>
      <w:marLeft w:val="0"/>
      <w:marRight w:val="0"/>
      <w:marTop w:val="0"/>
      <w:marBottom w:val="0"/>
      <w:divBdr>
        <w:top w:val="none" w:sz="0" w:space="0" w:color="auto"/>
        <w:left w:val="none" w:sz="0" w:space="0" w:color="auto"/>
        <w:bottom w:val="none" w:sz="0" w:space="0" w:color="auto"/>
        <w:right w:val="none" w:sz="0" w:space="0" w:color="auto"/>
      </w:divBdr>
    </w:div>
    <w:div w:id="365184683">
      <w:bodyDiv w:val="1"/>
      <w:marLeft w:val="0"/>
      <w:marRight w:val="0"/>
      <w:marTop w:val="0"/>
      <w:marBottom w:val="0"/>
      <w:divBdr>
        <w:top w:val="none" w:sz="0" w:space="0" w:color="auto"/>
        <w:left w:val="none" w:sz="0" w:space="0" w:color="auto"/>
        <w:bottom w:val="none" w:sz="0" w:space="0" w:color="auto"/>
        <w:right w:val="none" w:sz="0" w:space="0" w:color="auto"/>
      </w:divBdr>
    </w:div>
    <w:div w:id="365984859">
      <w:bodyDiv w:val="1"/>
      <w:marLeft w:val="0"/>
      <w:marRight w:val="0"/>
      <w:marTop w:val="0"/>
      <w:marBottom w:val="0"/>
      <w:divBdr>
        <w:top w:val="none" w:sz="0" w:space="0" w:color="auto"/>
        <w:left w:val="none" w:sz="0" w:space="0" w:color="auto"/>
        <w:bottom w:val="none" w:sz="0" w:space="0" w:color="auto"/>
        <w:right w:val="none" w:sz="0" w:space="0" w:color="auto"/>
      </w:divBdr>
    </w:div>
    <w:div w:id="405306479">
      <w:bodyDiv w:val="1"/>
      <w:marLeft w:val="0"/>
      <w:marRight w:val="0"/>
      <w:marTop w:val="0"/>
      <w:marBottom w:val="0"/>
      <w:divBdr>
        <w:top w:val="none" w:sz="0" w:space="0" w:color="auto"/>
        <w:left w:val="none" w:sz="0" w:space="0" w:color="auto"/>
        <w:bottom w:val="none" w:sz="0" w:space="0" w:color="auto"/>
        <w:right w:val="none" w:sz="0" w:space="0" w:color="auto"/>
      </w:divBdr>
    </w:div>
    <w:div w:id="471170874">
      <w:bodyDiv w:val="1"/>
      <w:marLeft w:val="0"/>
      <w:marRight w:val="0"/>
      <w:marTop w:val="0"/>
      <w:marBottom w:val="0"/>
      <w:divBdr>
        <w:top w:val="none" w:sz="0" w:space="0" w:color="auto"/>
        <w:left w:val="none" w:sz="0" w:space="0" w:color="auto"/>
        <w:bottom w:val="none" w:sz="0" w:space="0" w:color="auto"/>
        <w:right w:val="none" w:sz="0" w:space="0" w:color="auto"/>
      </w:divBdr>
    </w:div>
    <w:div w:id="543323912">
      <w:bodyDiv w:val="1"/>
      <w:marLeft w:val="0"/>
      <w:marRight w:val="0"/>
      <w:marTop w:val="0"/>
      <w:marBottom w:val="0"/>
      <w:divBdr>
        <w:top w:val="none" w:sz="0" w:space="0" w:color="auto"/>
        <w:left w:val="none" w:sz="0" w:space="0" w:color="auto"/>
        <w:bottom w:val="none" w:sz="0" w:space="0" w:color="auto"/>
        <w:right w:val="none" w:sz="0" w:space="0" w:color="auto"/>
      </w:divBdr>
    </w:div>
    <w:div w:id="598562644">
      <w:bodyDiv w:val="1"/>
      <w:marLeft w:val="0"/>
      <w:marRight w:val="0"/>
      <w:marTop w:val="0"/>
      <w:marBottom w:val="0"/>
      <w:divBdr>
        <w:top w:val="none" w:sz="0" w:space="0" w:color="auto"/>
        <w:left w:val="none" w:sz="0" w:space="0" w:color="auto"/>
        <w:bottom w:val="none" w:sz="0" w:space="0" w:color="auto"/>
        <w:right w:val="none" w:sz="0" w:space="0" w:color="auto"/>
      </w:divBdr>
    </w:div>
    <w:div w:id="696352372">
      <w:bodyDiv w:val="1"/>
      <w:marLeft w:val="0"/>
      <w:marRight w:val="0"/>
      <w:marTop w:val="0"/>
      <w:marBottom w:val="0"/>
      <w:divBdr>
        <w:top w:val="none" w:sz="0" w:space="0" w:color="auto"/>
        <w:left w:val="none" w:sz="0" w:space="0" w:color="auto"/>
        <w:bottom w:val="none" w:sz="0" w:space="0" w:color="auto"/>
        <w:right w:val="none" w:sz="0" w:space="0" w:color="auto"/>
      </w:divBdr>
    </w:div>
    <w:div w:id="719204389">
      <w:bodyDiv w:val="1"/>
      <w:marLeft w:val="0"/>
      <w:marRight w:val="0"/>
      <w:marTop w:val="0"/>
      <w:marBottom w:val="0"/>
      <w:divBdr>
        <w:top w:val="none" w:sz="0" w:space="0" w:color="auto"/>
        <w:left w:val="none" w:sz="0" w:space="0" w:color="auto"/>
        <w:bottom w:val="none" w:sz="0" w:space="0" w:color="auto"/>
        <w:right w:val="none" w:sz="0" w:space="0" w:color="auto"/>
      </w:divBdr>
    </w:div>
    <w:div w:id="934096932">
      <w:bodyDiv w:val="1"/>
      <w:marLeft w:val="0"/>
      <w:marRight w:val="0"/>
      <w:marTop w:val="0"/>
      <w:marBottom w:val="0"/>
      <w:divBdr>
        <w:top w:val="none" w:sz="0" w:space="0" w:color="auto"/>
        <w:left w:val="none" w:sz="0" w:space="0" w:color="auto"/>
        <w:bottom w:val="none" w:sz="0" w:space="0" w:color="auto"/>
        <w:right w:val="none" w:sz="0" w:space="0" w:color="auto"/>
      </w:divBdr>
    </w:div>
    <w:div w:id="997728733">
      <w:bodyDiv w:val="1"/>
      <w:marLeft w:val="0"/>
      <w:marRight w:val="0"/>
      <w:marTop w:val="0"/>
      <w:marBottom w:val="0"/>
      <w:divBdr>
        <w:top w:val="none" w:sz="0" w:space="0" w:color="auto"/>
        <w:left w:val="none" w:sz="0" w:space="0" w:color="auto"/>
        <w:bottom w:val="none" w:sz="0" w:space="0" w:color="auto"/>
        <w:right w:val="none" w:sz="0" w:space="0" w:color="auto"/>
      </w:divBdr>
    </w:div>
    <w:div w:id="1121147061">
      <w:bodyDiv w:val="1"/>
      <w:marLeft w:val="0"/>
      <w:marRight w:val="0"/>
      <w:marTop w:val="0"/>
      <w:marBottom w:val="0"/>
      <w:divBdr>
        <w:top w:val="none" w:sz="0" w:space="0" w:color="auto"/>
        <w:left w:val="none" w:sz="0" w:space="0" w:color="auto"/>
        <w:bottom w:val="none" w:sz="0" w:space="0" w:color="auto"/>
        <w:right w:val="none" w:sz="0" w:space="0" w:color="auto"/>
      </w:divBdr>
    </w:div>
    <w:div w:id="1224951704">
      <w:bodyDiv w:val="1"/>
      <w:marLeft w:val="0"/>
      <w:marRight w:val="0"/>
      <w:marTop w:val="0"/>
      <w:marBottom w:val="0"/>
      <w:divBdr>
        <w:top w:val="none" w:sz="0" w:space="0" w:color="auto"/>
        <w:left w:val="none" w:sz="0" w:space="0" w:color="auto"/>
        <w:bottom w:val="none" w:sz="0" w:space="0" w:color="auto"/>
        <w:right w:val="none" w:sz="0" w:space="0" w:color="auto"/>
      </w:divBdr>
    </w:div>
    <w:div w:id="1387030572">
      <w:bodyDiv w:val="1"/>
      <w:marLeft w:val="0"/>
      <w:marRight w:val="0"/>
      <w:marTop w:val="0"/>
      <w:marBottom w:val="0"/>
      <w:divBdr>
        <w:top w:val="none" w:sz="0" w:space="0" w:color="auto"/>
        <w:left w:val="none" w:sz="0" w:space="0" w:color="auto"/>
        <w:bottom w:val="none" w:sz="0" w:space="0" w:color="auto"/>
        <w:right w:val="none" w:sz="0" w:space="0" w:color="auto"/>
      </w:divBdr>
    </w:div>
    <w:div w:id="1484548308">
      <w:bodyDiv w:val="1"/>
      <w:marLeft w:val="0"/>
      <w:marRight w:val="0"/>
      <w:marTop w:val="0"/>
      <w:marBottom w:val="0"/>
      <w:divBdr>
        <w:top w:val="none" w:sz="0" w:space="0" w:color="auto"/>
        <w:left w:val="none" w:sz="0" w:space="0" w:color="auto"/>
        <w:bottom w:val="none" w:sz="0" w:space="0" w:color="auto"/>
        <w:right w:val="none" w:sz="0" w:space="0" w:color="auto"/>
      </w:divBdr>
    </w:div>
    <w:div w:id="1667901802">
      <w:bodyDiv w:val="1"/>
      <w:marLeft w:val="0"/>
      <w:marRight w:val="0"/>
      <w:marTop w:val="0"/>
      <w:marBottom w:val="0"/>
      <w:divBdr>
        <w:top w:val="none" w:sz="0" w:space="0" w:color="auto"/>
        <w:left w:val="none" w:sz="0" w:space="0" w:color="auto"/>
        <w:bottom w:val="none" w:sz="0" w:space="0" w:color="auto"/>
        <w:right w:val="none" w:sz="0" w:space="0" w:color="auto"/>
      </w:divBdr>
    </w:div>
    <w:div w:id="1712875757">
      <w:bodyDiv w:val="1"/>
      <w:marLeft w:val="0"/>
      <w:marRight w:val="0"/>
      <w:marTop w:val="0"/>
      <w:marBottom w:val="0"/>
      <w:divBdr>
        <w:top w:val="none" w:sz="0" w:space="0" w:color="auto"/>
        <w:left w:val="none" w:sz="0" w:space="0" w:color="auto"/>
        <w:bottom w:val="none" w:sz="0" w:space="0" w:color="auto"/>
        <w:right w:val="none" w:sz="0" w:space="0" w:color="auto"/>
      </w:divBdr>
    </w:div>
    <w:div w:id="1717927030">
      <w:bodyDiv w:val="1"/>
      <w:marLeft w:val="0"/>
      <w:marRight w:val="0"/>
      <w:marTop w:val="0"/>
      <w:marBottom w:val="0"/>
      <w:divBdr>
        <w:top w:val="none" w:sz="0" w:space="0" w:color="auto"/>
        <w:left w:val="none" w:sz="0" w:space="0" w:color="auto"/>
        <w:bottom w:val="none" w:sz="0" w:space="0" w:color="auto"/>
        <w:right w:val="none" w:sz="0" w:space="0" w:color="auto"/>
      </w:divBdr>
    </w:div>
    <w:div w:id="1803956274">
      <w:bodyDiv w:val="1"/>
      <w:marLeft w:val="0"/>
      <w:marRight w:val="0"/>
      <w:marTop w:val="0"/>
      <w:marBottom w:val="0"/>
      <w:divBdr>
        <w:top w:val="none" w:sz="0" w:space="0" w:color="auto"/>
        <w:left w:val="none" w:sz="0" w:space="0" w:color="auto"/>
        <w:bottom w:val="none" w:sz="0" w:space="0" w:color="auto"/>
        <w:right w:val="none" w:sz="0" w:space="0" w:color="auto"/>
      </w:divBdr>
    </w:div>
    <w:div w:id="1850875293">
      <w:bodyDiv w:val="1"/>
      <w:marLeft w:val="0"/>
      <w:marRight w:val="0"/>
      <w:marTop w:val="0"/>
      <w:marBottom w:val="0"/>
      <w:divBdr>
        <w:top w:val="none" w:sz="0" w:space="0" w:color="auto"/>
        <w:left w:val="none" w:sz="0" w:space="0" w:color="auto"/>
        <w:bottom w:val="none" w:sz="0" w:space="0" w:color="auto"/>
        <w:right w:val="none" w:sz="0" w:space="0" w:color="auto"/>
      </w:divBdr>
    </w:div>
    <w:div w:id="1957445090">
      <w:bodyDiv w:val="1"/>
      <w:marLeft w:val="0"/>
      <w:marRight w:val="0"/>
      <w:marTop w:val="0"/>
      <w:marBottom w:val="0"/>
      <w:divBdr>
        <w:top w:val="none" w:sz="0" w:space="0" w:color="auto"/>
        <w:left w:val="none" w:sz="0" w:space="0" w:color="auto"/>
        <w:bottom w:val="none" w:sz="0" w:space="0" w:color="auto"/>
        <w:right w:val="none" w:sz="0" w:space="0" w:color="auto"/>
      </w:divBdr>
    </w:div>
    <w:div w:id="1971940707">
      <w:bodyDiv w:val="1"/>
      <w:marLeft w:val="0"/>
      <w:marRight w:val="0"/>
      <w:marTop w:val="0"/>
      <w:marBottom w:val="0"/>
      <w:divBdr>
        <w:top w:val="none" w:sz="0" w:space="0" w:color="auto"/>
        <w:left w:val="none" w:sz="0" w:space="0" w:color="auto"/>
        <w:bottom w:val="none" w:sz="0" w:space="0" w:color="auto"/>
        <w:right w:val="none" w:sz="0" w:space="0" w:color="auto"/>
      </w:divBdr>
    </w:div>
    <w:div w:id="1975483600">
      <w:bodyDiv w:val="1"/>
      <w:marLeft w:val="0"/>
      <w:marRight w:val="0"/>
      <w:marTop w:val="0"/>
      <w:marBottom w:val="0"/>
      <w:divBdr>
        <w:top w:val="none" w:sz="0" w:space="0" w:color="auto"/>
        <w:left w:val="none" w:sz="0" w:space="0" w:color="auto"/>
        <w:bottom w:val="none" w:sz="0" w:space="0" w:color="auto"/>
        <w:right w:val="none" w:sz="0" w:space="0" w:color="auto"/>
      </w:divBdr>
    </w:div>
    <w:div w:id="2000033189">
      <w:bodyDiv w:val="1"/>
      <w:marLeft w:val="0"/>
      <w:marRight w:val="0"/>
      <w:marTop w:val="0"/>
      <w:marBottom w:val="0"/>
      <w:divBdr>
        <w:top w:val="none" w:sz="0" w:space="0" w:color="auto"/>
        <w:left w:val="none" w:sz="0" w:space="0" w:color="auto"/>
        <w:bottom w:val="none" w:sz="0" w:space="0" w:color="auto"/>
        <w:right w:val="none" w:sz="0" w:space="0" w:color="auto"/>
      </w:divBdr>
    </w:div>
    <w:div w:id="2004970980">
      <w:bodyDiv w:val="1"/>
      <w:marLeft w:val="0"/>
      <w:marRight w:val="0"/>
      <w:marTop w:val="0"/>
      <w:marBottom w:val="0"/>
      <w:divBdr>
        <w:top w:val="none" w:sz="0" w:space="0" w:color="auto"/>
        <w:left w:val="none" w:sz="0" w:space="0" w:color="auto"/>
        <w:bottom w:val="none" w:sz="0" w:space="0" w:color="auto"/>
        <w:right w:val="none" w:sz="0" w:space="0" w:color="auto"/>
      </w:divBdr>
    </w:div>
    <w:div w:id="2131168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Palumbo, Raffaele</cp:lastModifiedBy>
  <cp:revision>27</cp:revision>
  <dcterms:created xsi:type="dcterms:W3CDTF">2025-02-04T23:05:00Z</dcterms:created>
  <dcterms:modified xsi:type="dcterms:W3CDTF">2025-02-04T23:45:00Z</dcterms:modified>
  <cp:category/>
</cp:coreProperties>
</file>