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423A" w14:textId="77777777" w:rsidR="002831F2" w:rsidRDefault="002831F2" w:rsidP="002831F2">
      <w:pPr>
        <w:jc w:val="center"/>
        <w:rPr>
          <w:b/>
          <w:bCs/>
          <w:sz w:val="28"/>
          <w:szCs w:val="28"/>
        </w:rPr>
      </w:pPr>
      <w:r>
        <w:rPr>
          <w:b/>
          <w:bCs/>
          <w:sz w:val="28"/>
          <w:szCs w:val="28"/>
        </w:rPr>
        <w:t>CONFIDENTIAL</w:t>
      </w:r>
    </w:p>
    <w:p w14:paraId="64B6867B" w14:textId="77777777" w:rsidR="002831F2" w:rsidRDefault="002831F2" w:rsidP="002831F2">
      <w:pPr>
        <w:jc w:val="center"/>
        <w:rPr>
          <w:b/>
          <w:bCs/>
          <w:sz w:val="28"/>
          <w:szCs w:val="28"/>
        </w:rPr>
      </w:pPr>
    </w:p>
    <w:p w14:paraId="49520D9A" w14:textId="77777777" w:rsidR="002831F2" w:rsidRPr="00FC304D" w:rsidRDefault="002831F2" w:rsidP="002831F2">
      <w:pPr>
        <w:jc w:val="center"/>
        <w:rPr>
          <w:b/>
          <w:bCs/>
          <w:sz w:val="28"/>
          <w:szCs w:val="28"/>
        </w:rPr>
      </w:pPr>
      <w:r w:rsidRPr="00FC304D">
        <w:rPr>
          <w:b/>
          <w:bCs/>
          <w:sz w:val="28"/>
          <w:szCs w:val="28"/>
        </w:rPr>
        <w:t xml:space="preserve">Critique of three different methodologies for calculating </w:t>
      </w:r>
      <w:r>
        <w:rPr>
          <w:b/>
          <w:bCs/>
          <w:sz w:val="28"/>
          <w:szCs w:val="28"/>
        </w:rPr>
        <w:t xml:space="preserve">direct </w:t>
      </w:r>
      <w:r w:rsidRPr="00FC304D">
        <w:rPr>
          <w:b/>
          <w:bCs/>
          <w:sz w:val="28"/>
          <w:szCs w:val="28"/>
        </w:rPr>
        <w:t>greenhouse gas emissions from use of transport fuel within the Dunedin City boundary</w:t>
      </w:r>
    </w:p>
    <w:p w14:paraId="6BE09C84" w14:textId="77777777" w:rsidR="002831F2" w:rsidRPr="00FC304D" w:rsidRDefault="002831F2" w:rsidP="002831F2">
      <w:pPr>
        <w:jc w:val="center"/>
      </w:pPr>
    </w:p>
    <w:p w14:paraId="22E17069" w14:textId="77777777" w:rsidR="002831F2" w:rsidRPr="00FC304D" w:rsidRDefault="002831F2" w:rsidP="002831F2">
      <w:pPr>
        <w:jc w:val="center"/>
      </w:pPr>
      <w:r w:rsidRPr="00FC304D">
        <w:t xml:space="preserve">Michael Jack and Carsten </w:t>
      </w:r>
      <w:proofErr w:type="spellStart"/>
      <w:r w:rsidRPr="00FC304D">
        <w:t>Dortans</w:t>
      </w:r>
      <w:proofErr w:type="spellEnd"/>
      <w:r w:rsidRPr="00FC304D">
        <w:t>, Physics Department, University of Otago</w:t>
      </w:r>
    </w:p>
    <w:p w14:paraId="3DA23ABF" w14:textId="77777777" w:rsidR="002831F2" w:rsidRPr="00FC304D" w:rsidRDefault="002831F2" w:rsidP="002831F2">
      <w:pPr>
        <w:jc w:val="center"/>
      </w:pPr>
      <w:r w:rsidRPr="00FC304D">
        <w:t>1</w:t>
      </w:r>
      <w:r>
        <w:t>4</w:t>
      </w:r>
      <w:r w:rsidRPr="00FC304D">
        <w:t xml:space="preserve"> September 2021 </w:t>
      </w:r>
    </w:p>
    <w:p w14:paraId="13B4799F" w14:textId="77777777" w:rsidR="002831F2" w:rsidRPr="00202B99" w:rsidRDefault="002831F2" w:rsidP="002831F2">
      <w:pPr>
        <w:rPr>
          <w:rFonts w:asciiTheme="minorHAnsi" w:hAnsiTheme="minorHAnsi" w:cstheme="minorHAnsi"/>
        </w:rPr>
      </w:pPr>
    </w:p>
    <w:p w14:paraId="0DAA8023" w14:textId="77777777" w:rsidR="002831F2" w:rsidRPr="00FC304D" w:rsidRDefault="002831F2" w:rsidP="002831F2">
      <w:pPr>
        <w:jc w:val="both"/>
        <w:rPr>
          <w:b/>
          <w:bCs/>
        </w:rPr>
      </w:pPr>
      <w:r w:rsidRPr="00FC304D">
        <w:rPr>
          <w:b/>
          <w:bCs/>
        </w:rPr>
        <w:t>Introduction</w:t>
      </w:r>
    </w:p>
    <w:p w14:paraId="61027B1B" w14:textId="77777777" w:rsidR="002831F2" w:rsidRPr="00FC304D" w:rsidRDefault="002831F2" w:rsidP="002831F2">
      <w:pPr>
        <w:spacing w:line="276" w:lineRule="auto"/>
        <w:jc w:val="both"/>
      </w:pPr>
      <w:r w:rsidRPr="00FC304D">
        <w:t xml:space="preserve">A range of methods have been used to estimate the </w:t>
      </w:r>
      <w:r>
        <w:t xml:space="preserve">direct </w:t>
      </w:r>
      <w:r w:rsidRPr="00FC304D">
        <w:t>greenhouse gas (GHG) emissions from transport fuel use within the Dunedin boundaries</w:t>
      </w:r>
      <w:r>
        <w:rPr>
          <w:rStyle w:val="FootnoteReference"/>
        </w:rPr>
        <w:footnoteReference w:id="1"/>
      </w:r>
      <w:r w:rsidRPr="00FC304D">
        <w:t>. Each method relies on a range of data sources and assumptions and so is an approximation to the actual GHG emissions. In this document we compare three methodologies and provide a recommendation to Dunedin City Council (DCC) on which one provides the best estimate. We use two criteria for this recommendation:</w:t>
      </w:r>
    </w:p>
    <w:p w14:paraId="3739A415" w14:textId="77777777" w:rsidR="002831F2" w:rsidRPr="00FC304D" w:rsidRDefault="002831F2" w:rsidP="002831F2">
      <w:pPr>
        <w:pStyle w:val="ListParagraph"/>
        <w:numPr>
          <w:ilvl w:val="0"/>
          <w:numId w:val="3"/>
        </w:numPr>
        <w:spacing w:line="276" w:lineRule="auto"/>
        <w:jc w:val="both"/>
        <w:rPr>
          <w:rFonts w:ascii="Times New Roman" w:hAnsi="Times New Roman" w:cs="Times New Roman"/>
        </w:rPr>
      </w:pPr>
      <w:r w:rsidRPr="00FC304D">
        <w:rPr>
          <w:rFonts w:ascii="Times New Roman" w:hAnsi="Times New Roman" w:cs="Times New Roman"/>
        </w:rPr>
        <w:t>Accuracy</w:t>
      </w:r>
    </w:p>
    <w:p w14:paraId="39589B56" w14:textId="77777777" w:rsidR="002831F2" w:rsidRPr="00FC304D" w:rsidRDefault="002831F2" w:rsidP="002831F2">
      <w:pPr>
        <w:pStyle w:val="ListParagraph"/>
        <w:numPr>
          <w:ilvl w:val="0"/>
          <w:numId w:val="3"/>
        </w:numPr>
        <w:spacing w:line="276" w:lineRule="auto"/>
        <w:jc w:val="both"/>
        <w:rPr>
          <w:rFonts w:ascii="Times New Roman" w:hAnsi="Times New Roman" w:cs="Times New Roman"/>
        </w:rPr>
      </w:pPr>
      <w:r w:rsidRPr="00FC304D">
        <w:rPr>
          <w:rFonts w:ascii="Times New Roman" w:hAnsi="Times New Roman" w:cs="Times New Roman"/>
        </w:rPr>
        <w:t>Ease of data access</w:t>
      </w:r>
    </w:p>
    <w:p w14:paraId="174C06B0" w14:textId="77777777" w:rsidR="002831F2" w:rsidRPr="00B2222D" w:rsidRDefault="002831F2" w:rsidP="002831F2">
      <w:pPr>
        <w:spacing w:line="276" w:lineRule="auto"/>
        <w:jc w:val="both"/>
        <w:rPr>
          <w:lang w:eastAsia="en-GB"/>
        </w:rPr>
      </w:pPr>
      <w:r w:rsidRPr="00FC304D">
        <w:t>We briefly summarize the three methods below, present an analysis of the pros and cons of each method and our recommendation.</w:t>
      </w:r>
      <w:r>
        <w:t xml:space="preserve"> </w:t>
      </w:r>
    </w:p>
    <w:p w14:paraId="5AA95C9C" w14:textId="77777777" w:rsidR="002831F2" w:rsidRPr="00202B99" w:rsidRDefault="002831F2" w:rsidP="002831F2">
      <w:pPr>
        <w:spacing w:line="276" w:lineRule="auto"/>
        <w:rPr>
          <w:rFonts w:asciiTheme="minorHAnsi" w:hAnsiTheme="minorHAnsi" w:cstheme="minorHAnsi"/>
        </w:rPr>
      </w:pPr>
    </w:p>
    <w:p w14:paraId="2E52C23C" w14:textId="77777777" w:rsidR="002831F2" w:rsidRPr="00FC304D" w:rsidRDefault="002831F2" w:rsidP="002831F2">
      <w:pPr>
        <w:spacing w:line="276" w:lineRule="auto"/>
        <w:rPr>
          <w:b/>
          <w:bCs/>
        </w:rPr>
      </w:pPr>
      <w:r w:rsidRPr="00FC304D">
        <w:rPr>
          <w:b/>
          <w:bCs/>
        </w:rPr>
        <w:t>Summary of the three methods</w:t>
      </w:r>
    </w:p>
    <w:p w14:paraId="37F25169" w14:textId="77777777" w:rsidR="002831F2" w:rsidRPr="00FC304D" w:rsidRDefault="002831F2" w:rsidP="002831F2">
      <w:pPr>
        <w:spacing w:line="276" w:lineRule="auto"/>
        <w:jc w:val="both"/>
      </w:pPr>
      <w:r w:rsidRPr="00FC304D">
        <w:t>All three methods determine the GHG emissions by multiplying the volume of petrol and diesel consumed by Ministry for the Environment (</w:t>
      </w:r>
      <w:proofErr w:type="spellStart"/>
      <w:r w:rsidRPr="00FC304D">
        <w:t>MfE</w:t>
      </w:r>
      <w:proofErr w:type="spellEnd"/>
      <w:r w:rsidRPr="00FC304D">
        <w:t>) emission factors. However they differ in how they calculate the petrol and diesel volume.</w:t>
      </w:r>
    </w:p>
    <w:p w14:paraId="662A0C46" w14:textId="77777777" w:rsidR="002831F2" w:rsidRPr="00FC304D" w:rsidRDefault="002831F2" w:rsidP="002831F2">
      <w:pPr>
        <w:pStyle w:val="ListParagraph"/>
        <w:numPr>
          <w:ilvl w:val="0"/>
          <w:numId w:val="4"/>
        </w:numPr>
        <w:spacing w:line="276" w:lineRule="auto"/>
        <w:jc w:val="both"/>
        <w:rPr>
          <w:rFonts w:ascii="Times New Roman" w:hAnsi="Times New Roman" w:cs="Times New Roman"/>
        </w:rPr>
      </w:pPr>
      <w:r w:rsidRPr="00FC304D">
        <w:rPr>
          <w:rFonts w:ascii="Times New Roman" w:hAnsi="Times New Roman" w:cs="Times New Roman"/>
        </w:rPr>
        <w:t xml:space="preserve">The </w:t>
      </w:r>
      <w:r w:rsidRPr="00FC304D">
        <w:rPr>
          <w:rFonts w:ascii="Times New Roman" w:hAnsi="Times New Roman" w:cs="Times New Roman"/>
          <w:u w:val="single"/>
        </w:rPr>
        <w:t>Dunedin Energy Study method</w:t>
      </w:r>
      <w:r w:rsidRPr="00FC304D">
        <w:rPr>
          <w:rFonts w:ascii="Times New Roman" w:hAnsi="Times New Roman" w:cs="Times New Roman"/>
        </w:rPr>
        <w:t xml:space="preserve"> has been used in 2018/2019 Dunedin Energy Study and previous versions of this report. This uses Otago regional data on petrol and diesel sales (in litres) that is used for fuel tax calculations. This data is aggregated over three territorial authorities (i.e., Waitaki District, Clutha District, and Dunedin City). Rate revenue across the three territorial authorities is used to determine the Dunedin city share of petrol and diesel use.</w:t>
      </w:r>
    </w:p>
    <w:p w14:paraId="7625BF2E" w14:textId="77777777" w:rsidR="002831F2" w:rsidRPr="00FC304D" w:rsidRDefault="002831F2" w:rsidP="002831F2">
      <w:pPr>
        <w:pStyle w:val="ListParagraph"/>
        <w:numPr>
          <w:ilvl w:val="0"/>
          <w:numId w:val="4"/>
        </w:numPr>
        <w:spacing w:line="276" w:lineRule="auto"/>
        <w:jc w:val="both"/>
        <w:rPr>
          <w:rFonts w:ascii="Times New Roman" w:hAnsi="Times New Roman" w:cs="Times New Roman"/>
        </w:rPr>
      </w:pPr>
      <w:r w:rsidRPr="00FC304D">
        <w:rPr>
          <w:rFonts w:ascii="Times New Roman" w:hAnsi="Times New Roman" w:cs="Times New Roman"/>
        </w:rPr>
        <w:t xml:space="preserve">The </w:t>
      </w:r>
      <w:r w:rsidRPr="00FC304D">
        <w:rPr>
          <w:rFonts w:ascii="Times New Roman" w:hAnsi="Times New Roman" w:cs="Times New Roman"/>
          <w:u w:val="single"/>
        </w:rPr>
        <w:t>E&amp;Y method</w:t>
      </w:r>
      <w:r w:rsidRPr="00FC304D">
        <w:rPr>
          <w:rFonts w:ascii="Times New Roman" w:hAnsi="Times New Roman" w:cs="Times New Roman"/>
        </w:rPr>
        <w:t xml:space="preserve"> was developed by Ernst and Young to estimate the Otago region’s 2018/2019 carbon footprint. This takes total fuel sales data for Dunedin City (not separated into diesel and petrol) from </w:t>
      </w:r>
      <w:proofErr w:type="spellStart"/>
      <w:r w:rsidRPr="00FC304D">
        <w:rPr>
          <w:rFonts w:ascii="Times New Roman" w:hAnsi="Times New Roman" w:cs="Times New Roman"/>
        </w:rPr>
        <w:t>StatsNZ</w:t>
      </w:r>
      <w:proofErr w:type="spellEnd"/>
      <w:r w:rsidRPr="00FC304D">
        <w:rPr>
          <w:rFonts w:ascii="Times New Roman" w:hAnsi="Times New Roman" w:cs="Times New Roman"/>
        </w:rPr>
        <w:t xml:space="preserve">. National proportions </w:t>
      </w:r>
      <w:r>
        <w:rPr>
          <w:rFonts w:ascii="Times New Roman" w:hAnsi="Times New Roman" w:cs="Times New Roman"/>
        </w:rPr>
        <w:t xml:space="preserve">(in energy) </w:t>
      </w:r>
      <w:r w:rsidRPr="00FC304D">
        <w:rPr>
          <w:rFonts w:ascii="Times New Roman" w:hAnsi="Times New Roman" w:cs="Times New Roman"/>
        </w:rPr>
        <w:t xml:space="preserve">of petrol and diesel from the Energy Efficiency and Conservation Authority (EECA) End Use data base, </w:t>
      </w:r>
      <w:proofErr w:type="spellStart"/>
      <w:r w:rsidRPr="00FC304D">
        <w:rPr>
          <w:rFonts w:ascii="Times New Roman" w:hAnsi="Times New Roman" w:cs="Times New Roman"/>
        </w:rPr>
        <w:t>MfE</w:t>
      </w:r>
      <w:proofErr w:type="spellEnd"/>
      <w:r w:rsidRPr="00FC304D">
        <w:rPr>
          <w:rFonts w:ascii="Times New Roman" w:hAnsi="Times New Roman" w:cs="Times New Roman"/>
        </w:rPr>
        <w:t xml:space="preserve"> calorific values and Ministry of Business, Innovation and Employment (MBIE) average national fuel prices are then used to determine the quantities of petrol and diesel.</w:t>
      </w:r>
    </w:p>
    <w:p w14:paraId="21243B2D" w14:textId="77777777" w:rsidR="002831F2" w:rsidRPr="00FC304D" w:rsidRDefault="002831F2" w:rsidP="002831F2">
      <w:pPr>
        <w:pStyle w:val="ListParagraph"/>
        <w:numPr>
          <w:ilvl w:val="0"/>
          <w:numId w:val="4"/>
        </w:numPr>
        <w:spacing w:line="276" w:lineRule="auto"/>
        <w:jc w:val="both"/>
        <w:rPr>
          <w:rFonts w:ascii="Times New Roman" w:hAnsi="Times New Roman" w:cs="Times New Roman"/>
        </w:rPr>
      </w:pPr>
      <w:r w:rsidRPr="00FC304D">
        <w:rPr>
          <w:rFonts w:ascii="Times New Roman" w:hAnsi="Times New Roman" w:cs="Times New Roman"/>
        </w:rPr>
        <w:t xml:space="preserve">The </w:t>
      </w:r>
      <w:r w:rsidRPr="00FC304D">
        <w:rPr>
          <w:rFonts w:ascii="Times New Roman" w:hAnsi="Times New Roman" w:cs="Times New Roman"/>
          <w:u w:val="single"/>
        </w:rPr>
        <w:t>AECOM method</w:t>
      </w:r>
      <w:r w:rsidRPr="00FC304D">
        <w:rPr>
          <w:rFonts w:ascii="Times New Roman" w:hAnsi="Times New Roman" w:cs="Times New Roman"/>
        </w:rPr>
        <w:t xml:space="preserve"> was used by AECOM to determine the Dunedin City’s 2018/2019 Community Carbon Footprint (November 2020 update). This method also uses the fuel tax data like the Dunedin Energy study method, but determines the Dunedin City component by using vehicle kilometres travelled (VKT) data from the New Zealand </w:t>
      </w:r>
      <w:r w:rsidRPr="00FC304D">
        <w:rPr>
          <w:rFonts w:ascii="Times New Roman" w:hAnsi="Times New Roman" w:cs="Times New Roman"/>
        </w:rPr>
        <w:lastRenderedPageBreak/>
        <w:t>Transport Agency (NZTA) for each of the three territorial authorities.</w:t>
      </w:r>
      <w:r>
        <w:rPr>
          <w:rFonts w:ascii="Times New Roman" w:hAnsi="Times New Roman" w:cs="Times New Roman"/>
        </w:rPr>
        <w:t xml:space="preserve"> The AECOM method also subtracts diesel used for stationary energy.</w:t>
      </w:r>
    </w:p>
    <w:p w14:paraId="05FF03BE" w14:textId="77777777" w:rsidR="002831F2" w:rsidRDefault="002831F2" w:rsidP="002831F2"/>
    <w:p w14:paraId="233F540F" w14:textId="77777777" w:rsidR="002831F2" w:rsidRPr="00FC304D" w:rsidRDefault="002831F2" w:rsidP="002831F2">
      <w:r w:rsidRPr="00FC304D">
        <w:t>To better understand the three methods</w:t>
      </w:r>
      <w:r>
        <w:t>,</w:t>
      </w:r>
      <w:r w:rsidRPr="00FC304D">
        <w:t xml:space="preserve"> we have used each method to try and reproduce the results reported in each of the above studies for the 2018/19 financial year. The detailed approach is provided in the Appendix. A table of the results of this analysis is shown in Table 1.</w:t>
      </w:r>
    </w:p>
    <w:p w14:paraId="4F889A97" w14:textId="77777777" w:rsidR="002831F2" w:rsidRDefault="002831F2" w:rsidP="002831F2"/>
    <w:p w14:paraId="469F7636" w14:textId="77777777" w:rsidR="002831F2" w:rsidRPr="00FC304D" w:rsidRDefault="002831F2" w:rsidP="002831F2">
      <w:pPr>
        <w:rPr>
          <w:i/>
          <w:iCs/>
        </w:rPr>
      </w:pPr>
      <w:r w:rsidRPr="00FC304D">
        <w:rPr>
          <w:i/>
          <w:iCs/>
        </w:rPr>
        <w:t>Table 1: Summary of the results for the litres of petrol and diesel and associated GHG emissions for each of the three methods for the 2018/19 financial year</w:t>
      </w:r>
    </w:p>
    <w:tbl>
      <w:tblPr>
        <w:tblStyle w:val="TableGrid"/>
        <w:tblW w:w="9072" w:type="dxa"/>
        <w:tblInd w:w="-5" w:type="dxa"/>
        <w:tblLayout w:type="fixed"/>
        <w:tblLook w:val="04A0" w:firstRow="1" w:lastRow="0" w:firstColumn="1" w:lastColumn="0" w:noHBand="0" w:noVBand="1"/>
      </w:tblPr>
      <w:tblGrid>
        <w:gridCol w:w="1985"/>
        <w:gridCol w:w="2410"/>
        <w:gridCol w:w="2268"/>
        <w:gridCol w:w="2409"/>
      </w:tblGrid>
      <w:tr w:rsidR="002831F2" w:rsidRPr="005E275D" w14:paraId="507D7EE9" w14:textId="77777777" w:rsidTr="00C3245E">
        <w:tc>
          <w:tcPr>
            <w:tcW w:w="1985" w:type="dxa"/>
          </w:tcPr>
          <w:p w14:paraId="6E86C9E9" w14:textId="77777777" w:rsidR="002831F2" w:rsidRPr="00FC304D" w:rsidRDefault="002831F2" w:rsidP="00C3245E">
            <w:pPr>
              <w:rPr>
                <w:b/>
                <w:bCs/>
                <w:sz w:val="22"/>
                <w:szCs w:val="22"/>
              </w:rPr>
            </w:pPr>
            <w:r w:rsidRPr="005E275D">
              <w:rPr>
                <w:b/>
                <w:bCs/>
                <w:sz w:val="22"/>
                <w:szCs w:val="22"/>
              </w:rPr>
              <w:t>Method</w:t>
            </w:r>
          </w:p>
        </w:tc>
        <w:tc>
          <w:tcPr>
            <w:tcW w:w="2410" w:type="dxa"/>
          </w:tcPr>
          <w:p w14:paraId="43FCD6BF" w14:textId="77777777" w:rsidR="002831F2" w:rsidRPr="00FC304D" w:rsidRDefault="002831F2" w:rsidP="00C3245E">
            <w:pPr>
              <w:jc w:val="center"/>
              <w:rPr>
                <w:b/>
                <w:bCs/>
                <w:sz w:val="22"/>
                <w:szCs w:val="22"/>
              </w:rPr>
            </w:pPr>
            <w:r w:rsidRPr="00FC304D">
              <w:rPr>
                <w:b/>
                <w:bCs/>
                <w:sz w:val="22"/>
                <w:szCs w:val="22"/>
              </w:rPr>
              <w:t>Dunedin Energy Study</w:t>
            </w:r>
          </w:p>
        </w:tc>
        <w:tc>
          <w:tcPr>
            <w:tcW w:w="2268" w:type="dxa"/>
          </w:tcPr>
          <w:p w14:paraId="55C734D4" w14:textId="77777777" w:rsidR="002831F2" w:rsidRPr="00FC304D" w:rsidRDefault="002831F2" w:rsidP="00C3245E">
            <w:pPr>
              <w:jc w:val="center"/>
              <w:rPr>
                <w:b/>
                <w:bCs/>
                <w:sz w:val="22"/>
                <w:szCs w:val="22"/>
              </w:rPr>
            </w:pPr>
            <w:r w:rsidRPr="00FC304D">
              <w:rPr>
                <w:b/>
                <w:bCs/>
                <w:sz w:val="22"/>
                <w:szCs w:val="22"/>
              </w:rPr>
              <w:t>E&amp;Y</w:t>
            </w:r>
          </w:p>
        </w:tc>
        <w:tc>
          <w:tcPr>
            <w:tcW w:w="2409" w:type="dxa"/>
          </w:tcPr>
          <w:p w14:paraId="564281E1" w14:textId="77777777" w:rsidR="002831F2" w:rsidRPr="00FC304D" w:rsidRDefault="002831F2" w:rsidP="00C3245E">
            <w:pPr>
              <w:jc w:val="center"/>
              <w:rPr>
                <w:b/>
                <w:bCs/>
                <w:sz w:val="22"/>
                <w:szCs w:val="22"/>
              </w:rPr>
            </w:pPr>
            <w:r w:rsidRPr="00FC304D">
              <w:rPr>
                <w:b/>
                <w:bCs/>
                <w:sz w:val="22"/>
                <w:szCs w:val="22"/>
              </w:rPr>
              <w:t>AECOM</w:t>
            </w:r>
          </w:p>
        </w:tc>
      </w:tr>
      <w:tr w:rsidR="002831F2" w:rsidRPr="005E275D" w14:paraId="50A64763" w14:textId="77777777" w:rsidTr="00C3245E">
        <w:tc>
          <w:tcPr>
            <w:tcW w:w="1985" w:type="dxa"/>
          </w:tcPr>
          <w:p w14:paraId="797A993E" w14:textId="77777777" w:rsidR="002831F2" w:rsidRPr="00FC304D" w:rsidRDefault="002831F2" w:rsidP="00C3245E">
            <w:pPr>
              <w:rPr>
                <w:sz w:val="22"/>
                <w:szCs w:val="22"/>
              </w:rPr>
            </w:pPr>
            <w:r w:rsidRPr="00FC304D">
              <w:rPr>
                <w:sz w:val="22"/>
                <w:szCs w:val="22"/>
              </w:rPr>
              <w:t>Dunedin City share of Petrol and Diesel</w:t>
            </w:r>
          </w:p>
        </w:tc>
        <w:tc>
          <w:tcPr>
            <w:tcW w:w="2410" w:type="dxa"/>
          </w:tcPr>
          <w:p w14:paraId="6F55CF3D" w14:textId="77777777" w:rsidR="002831F2" w:rsidRPr="00182E14" w:rsidRDefault="002831F2" w:rsidP="00C3245E">
            <w:pPr>
              <w:jc w:val="right"/>
              <w:rPr>
                <w:sz w:val="22"/>
                <w:szCs w:val="22"/>
                <w:vertAlign w:val="superscript"/>
              </w:rPr>
            </w:pPr>
            <w:r w:rsidRPr="00182E14">
              <w:rPr>
                <w:sz w:val="22"/>
                <w:szCs w:val="22"/>
              </w:rPr>
              <w:t>70.4%</w:t>
            </w:r>
          </w:p>
        </w:tc>
        <w:tc>
          <w:tcPr>
            <w:tcW w:w="2268" w:type="dxa"/>
          </w:tcPr>
          <w:p w14:paraId="49FC50C5" w14:textId="77777777" w:rsidR="002831F2" w:rsidRPr="00FC304D" w:rsidRDefault="002831F2" w:rsidP="00C3245E">
            <w:pPr>
              <w:jc w:val="right"/>
              <w:rPr>
                <w:sz w:val="22"/>
                <w:szCs w:val="22"/>
              </w:rPr>
            </w:pPr>
            <w:r w:rsidRPr="005E275D">
              <w:rPr>
                <w:sz w:val="22"/>
                <w:szCs w:val="22"/>
              </w:rPr>
              <w:t>NA</w:t>
            </w:r>
          </w:p>
        </w:tc>
        <w:tc>
          <w:tcPr>
            <w:tcW w:w="2409" w:type="dxa"/>
          </w:tcPr>
          <w:p w14:paraId="6FB367E9" w14:textId="77777777" w:rsidR="002831F2" w:rsidRPr="00182E14" w:rsidRDefault="002831F2" w:rsidP="00C3245E">
            <w:pPr>
              <w:jc w:val="right"/>
              <w:rPr>
                <w:sz w:val="22"/>
                <w:szCs w:val="22"/>
                <w:vertAlign w:val="superscript"/>
              </w:rPr>
            </w:pPr>
            <w:r w:rsidRPr="00182E14">
              <w:rPr>
                <w:sz w:val="22"/>
                <w:szCs w:val="22"/>
              </w:rPr>
              <w:t>54.25%</w:t>
            </w:r>
          </w:p>
        </w:tc>
      </w:tr>
      <w:tr w:rsidR="002831F2" w:rsidRPr="005E275D" w14:paraId="190C08B2" w14:textId="77777777" w:rsidTr="00C3245E">
        <w:tc>
          <w:tcPr>
            <w:tcW w:w="1985" w:type="dxa"/>
          </w:tcPr>
          <w:p w14:paraId="160D709E" w14:textId="77777777" w:rsidR="002831F2" w:rsidRPr="00FC304D" w:rsidRDefault="002831F2" w:rsidP="00C3245E">
            <w:pPr>
              <w:rPr>
                <w:sz w:val="22"/>
                <w:szCs w:val="22"/>
              </w:rPr>
            </w:pPr>
            <w:r w:rsidRPr="00FC304D">
              <w:rPr>
                <w:sz w:val="22"/>
                <w:szCs w:val="22"/>
              </w:rPr>
              <w:t>Litres of Petrol</w:t>
            </w:r>
          </w:p>
        </w:tc>
        <w:tc>
          <w:tcPr>
            <w:tcW w:w="2410" w:type="dxa"/>
          </w:tcPr>
          <w:p w14:paraId="1CA61419" w14:textId="77777777" w:rsidR="002831F2" w:rsidRPr="00182E14" w:rsidRDefault="002831F2" w:rsidP="00C3245E">
            <w:pPr>
              <w:jc w:val="right"/>
              <w:rPr>
                <w:sz w:val="22"/>
                <w:szCs w:val="22"/>
              </w:rPr>
            </w:pPr>
            <w:r w:rsidRPr="00182E14">
              <w:rPr>
                <w:sz w:val="22"/>
                <w:szCs w:val="22"/>
              </w:rPr>
              <w:t>76,79</w:t>
            </w:r>
            <w:r>
              <w:rPr>
                <w:sz w:val="22"/>
                <w:szCs w:val="22"/>
              </w:rPr>
              <w:t>7</w:t>
            </w:r>
            <w:r w:rsidRPr="00182E14">
              <w:rPr>
                <w:sz w:val="22"/>
                <w:szCs w:val="22"/>
              </w:rPr>
              <w:t>,</w:t>
            </w:r>
            <w:r>
              <w:rPr>
                <w:sz w:val="22"/>
                <w:szCs w:val="22"/>
              </w:rPr>
              <w:t>000</w:t>
            </w:r>
            <w:r w:rsidRPr="00182E14">
              <w:rPr>
                <w:sz w:val="22"/>
                <w:szCs w:val="22"/>
              </w:rPr>
              <w:t xml:space="preserve"> (38%)</w:t>
            </w:r>
          </w:p>
        </w:tc>
        <w:tc>
          <w:tcPr>
            <w:tcW w:w="2268" w:type="dxa"/>
          </w:tcPr>
          <w:p w14:paraId="2A5DCD7D" w14:textId="77777777" w:rsidR="002831F2" w:rsidRPr="001955D6" w:rsidRDefault="002831F2" w:rsidP="00C3245E">
            <w:pPr>
              <w:jc w:val="right"/>
              <w:rPr>
                <w:sz w:val="22"/>
                <w:szCs w:val="22"/>
              </w:rPr>
            </w:pPr>
            <w:r w:rsidRPr="001955D6">
              <w:rPr>
                <w:sz w:val="22"/>
                <w:szCs w:val="22"/>
              </w:rPr>
              <w:t>51,51</w:t>
            </w:r>
            <w:r>
              <w:rPr>
                <w:sz w:val="22"/>
                <w:szCs w:val="22"/>
              </w:rPr>
              <w:t>7</w:t>
            </w:r>
            <w:r w:rsidRPr="001955D6">
              <w:rPr>
                <w:sz w:val="22"/>
                <w:szCs w:val="22"/>
              </w:rPr>
              <w:t>,</w:t>
            </w:r>
            <w:r>
              <w:rPr>
                <w:sz w:val="22"/>
                <w:szCs w:val="22"/>
              </w:rPr>
              <w:t xml:space="preserve">000 </w:t>
            </w:r>
            <w:r w:rsidRPr="001955D6">
              <w:rPr>
                <w:sz w:val="22"/>
                <w:szCs w:val="22"/>
              </w:rPr>
              <w:t>(45%)</w:t>
            </w:r>
          </w:p>
        </w:tc>
        <w:tc>
          <w:tcPr>
            <w:tcW w:w="2409" w:type="dxa"/>
          </w:tcPr>
          <w:p w14:paraId="6BA0F60C" w14:textId="77777777" w:rsidR="002831F2" w:rsidRPr="00182E14" w:rsidRDefault="002831F2" w:rsidP="00C3245E">
            <w:pPr>
              <w:jc w:val="right"/>
              <w:rPr>
                <w:sz w:val="22"/>
                <w:szCs w:val="22"/>
              </w:rPr>
            </w:pPr>
            <w:r w:rsidRPr="00182E14">
              <w:rPr>
                <w:sz w:val="22"/>
                <w:szCs w:val="22"/>
              </w:rPr>
              <w:t>59,179,</w:t>
            </w:r>
            <w:r>
              <w:rPr>
                <w:sz w:val="22"/>
                <w:szCs w:val="22"/>
              </w:rPr>
              <w:t>000</w:t>
            </w:r>
            <w:r w:rsidRPr="00182E14">
              <w:rPr>
                <w:sz w:val="22"/>
                <w:szCs w:val="22"/>
              </w:rPr>
              <w:t xml:space="preserve"> (38%)</w:t>
            </w:r>
          </w:p>
        </w:tc>
      </w:tr>
      <w:tr w:rsidR="002831F2" w:rsidRPr="005E275D" w14:paraId="0960A5C3" w14:textId="77777777" w:rsidTr="00C3245E">
        <w:tc>
          <w:tcPr>
            <w:tcW w:w="1985" w:type="dxa"/>
          </w:tcPr>
          <w:p w14:paraId="7DB66283" w14:textId="77777777" w:rsidR="002831F2" w:rsidRPr="00FC304D" w:rsidRDefault="002831F2" w:rsidP="00C3245E">
            <w:pPr>
              <w:rPr>
                <w:sz w:val="22"/>
                <w:szCs w:val="22"/>
              </w:rPr>
            </w:pPr>
            <w:r w:rsidRPr="00FC304D">
              <w:rPr>
                <w:sz w:val="22"/>
                <w:szCs w:val="22"/>
              </w:rPr>
              <w:t>Litres of Diesel</w:t>
            </w:r>
          </w:p>
        </w:tc>
        <w:tc>
          <w:tcPr>
            <w:tcW w:w="2410" w:type="dxa"/>
          </w:tcPr>
          <w:p w14:paraId="58EE313A" w14:textId="77777777" w:rsidR="002831F2" w:rsidRPr="00182E14" w:rsidRDefault="002831F2" w:rsidP="00C3245E">
            <w:pPr>
              <w:jc w:val="right"/>
              <w:rPr>
                <w:sz w:val="22"/>
                <w:szCs w:val="22"/>
              </w:rPr>
            </w:pPr>
            <w:r w:rsidRPr="00182E14">
              <w:rPr>
                <w:sz w:val="22"/>
                <w:szCs w:val="22"/>
              </w:rPr>
              <w:t>126,792,</w:t>
            </w:r>
            <w:r>
              <w:rPr>
                <w:sz w:val="22"/>
                <w:szCs w:val="22"/>
              </w:rPr>
              <w:t>000</w:t>
            </w:r>
            <w:r w:rsidRPr="00182E14">
              <w:rPr>
                <w:sz w:val="22"/>
                <w:szCs w:val="22"/>
              </w:rPr>
              <w:t xml:space="preserve"> (62%)</w:t>
            </w:r>
          </w:p>
        </w:tc>
        <w:tc>
          <w:tcPr>
            <w:tcW w:w="2268" w:type="dxa"/>
          </w:tcPr>
          <w:p w14:paraId="44E35ECE" w14:textId="77777777" w:rsidR="002831F2" w:rsidRPr="001955D6" w:rsidRDefault="002831F2" w:rsidP="00C3245E">
            <w:pPr>
              <w:jc w:val="right"/>
              <w:rPr>
                <w:sz w:val="22"/>
                <w:szCs w:val="22"/>
              </w:rPr>
            </w:pPr>
            <w:r w:rsidRPr="001955D6">
              <w:rPr>
                <w:sz w:val="22"/>
                <w:szCs w:val="22"/>
              </w:rPr>
              <w:t>56,20</w:t>
            </w:r>
            <w:r>
              <w:rPr>
                <w:sz w:val="22"/>
                <w:szCs w:val="22"/>
              </w:rPr>
              <w:t>6</w:t>
            </w:r>
            <w:r w:rsidRPr="001955D6">
              <w:rPr>
                <w:sz w:val="22"/>
                <w:szCs w:val="22"/>
              </w:rPr>
              <w:t>,</w:t>
            </w:r>
            <w:r>
              <w:rPr>
                <w:sz w:val="22"/>
                <w:szCs w:val="22"/>
              </w:rPr>
              <w:t>000</w:t>
            </w:r>
            <w:r w:rsidRPr="001955D6">
              <w:rPr>
                <w:sz w:val="22"/>
                <w:szCs w:val="22"/>
              </w:rPr>
              <w:t xml:space="preserve"> (55%) </w:t>
            </w:r>
          </w:p>
        </w:tc>
        <w:tc>
          <w:tcPr>
            <w:tcW w:w="2409" w:type="dxa"/>
          </w:tcPr>
          <w:p w14:paraId="61B8CB6B" w14:textId="77777777" w:rsidR="002831F2" w:rsidRPr="00182E14" w:rsidRDefault="002831F2" w:rsidP="00C3245E">
            <w:pPr>
              <w:jc w:val="right"/>
              <w:rPr>
                <w:sz w:val="22"/>
                <w:szCs w:val="22"/>
              </w:rPr>
            </w:pPr>
            <w:r w:rsidRPr="00182E14">
              <w:rPr>
                <w:sz w:val="22"/>
                <w:szCs w:val="22"/>
              </w:rPr>
              <w:t>97,70</w:t>
            </w:r>
            <w:r>
              <w:rPr>
                <w:sz w:val="22"/>
                <w:szCs w:val="22"/>
              </w:rPr>
              <w:t>6</w:t>
            </w:r>
            <w:r w:rsidRPr="00182E14">
              <w:rPr>
                <w:sz w:val="22"/>
                <w:szCs w:val="22"/>
              </w:rPr>
              <w:t>,</w:t>
            </w:r>
            <w:r>
              <w:rPr>
                <w:sz w:val="22"/>
                <w:szCs w:val="22"/>
              </w:rPr>
              <w:t>000</w:t>
            </w:r>
            <w:r w:rsidRPr="00182E14">
              <w:rPr>
                <w:sz w:val="22"/>
                <w:szCs w:val="22"/>
              </w:rPr>
              <w:t xml:space="preserve"> (64%)</w:t>
            </w:r>
          </w:p>
        </w:tc>
      </w:tr>
      <w:tr w:rsidR="002831F2" w:rsidRPr="005E275D" w14:paraId="67D98670" w14:textId="77777777" w:rsidTr="00C3245E">
        <w:tc>
          <w:tcPr>
            <w:tcW w:w="1985" w:type="dxa"/>
          </w:tcPr>
          <w:p w14:paraId="5BC3CDCE" w14:textId="77777777" w:rsidR="002831F2" w:rsidRPr="00FC304D" w:rsidRDefault="002831F2" w:rsidP="00C3245E">
            <w:pPr>
              <w:rPr>
                <w:sz w:val="22"/>
                <w:szCs w:val="22"/>
              </w:rPr>
            </w:pPr>
            <w:r w:rsidRPr="00FC304D">
              <w:rPr>
                <w:sz w:val="22"/>
                <w:szCs w:val="22"/>
              </w:rPr>
              <w:t>kg CO2-e</w:t>
            </w:r>
          </w:p>
        </w:tc>
        <w:tc>
          <w:tcPr>
            <w:tcW w:w="2410" w:type="dxa"/>
          </w:tcPr>
          <w:p w14:paraId="01BB38DF" w14:textId="77777777" w:rsidR="002831F2" w:rsidRPr="00182E14" w:rsidRDefault="002831F2" w:rsidP="00C3245E">
            <w:pPr>
              <w:jc w:val="right"/>
              <w:rPr>
                <w:sz w:val="22"/>
                <w:szCs w:val="22"/>
              </w:rPr>
            </w:pPr>
            <w:r w:rsidRPr="00182E14">
              <w:rPr>
                <w:sz w:val="22"/>
                <w:szCs w:val="22"/>
              </w:rPr>
              <w:t>529,224,</w:t>
            </w:r>
            <w:r>
              <w:rPr>
                <w:sz w:val="22"/>
                <w:szCs w:val="22"/>
              </w:rPr>
              <w:t>000</w:t>
            </w:r>
          </w:p>
        </w:tc>
        <w:tc>
          <w:tcPr>
            <w:tcW w:w="2268" w:type="dxa"/>
          </w:tcPr>
          <w:p w14:paraId="06817F1C" w14:textId="77777777" w:rsidR="002831F2" w:rsidRPr="001955D6" w:rsidRDefault="002831F2" w:rsidP="00C3245E">
            <w:pPr>
              <w:jc w:val="right"/>
              <w:rPr>
                <w:sz w:val="22"/>
                <w:szCs w:val="22"/>
              </w:rPr>
            </w:pPr>
            <w:r w:rsidRPr="001955D6">
              <w:rPr>
                <w:sz w:val="22"/>
                <w:szCs w:val="22"/>
              </w:rPr>
              <w:t>277,39</w:t>
            </w:r>
            <w:r>
              <w:rPr>
                <w:sz w:val="22"/>
                <w:szCs w:val="22"/>
              </w:rPr>
              <w:t>7</w:t>
            </w:r>
            <w:r w:rsidRPr="001955D6">
              <w:rPr>
                <w:sz w:val="22"/>
                <w:szCs w:val="22"/>
              </w:rPr>
              <w:t>,</w:t>
            </w:r>
            <w:r>
              <w:rPr>
                <w:sz w:val="22"/>
                <w:szCs w:val="22"/>
              </w:rPr>
              <w:t>000</w:t>
            </w:r>
            <w:r w:rsidRPr="001955D6">
              <w:rPr>
                <w:sz w:val="22"/>
                <w:szCs w:val="22"/>
              </w:rPr>
              <w:t xml:space="preserve"> </w:t>
            </w:r>
          </w:p>
        </w:tc>
        <w:tc>
          <w:tcPr>
            <w:tcW w:w="2409" w:type="dxa"/>
          </w:tcPr>
          <w:p w14:paraId="30F5FC37" w14:textId="77777777" w:rsidR="002831F2" w:rsidRPr="00182E14" w:rsidRDefault="002831F2" w:rsidP="00C3245E">
            <w:pPr>
              <w:ind w:right="31"/>
              <w:jc w:val="right"/>
              <w:rPr>
                <w:sz w:val="22"/>
                <w:szCs w:val="22"/>
              </w:rPr>
            </w:pPr>
            <w:r w:rsidRPr="00182E14">
              <w:rPr>
                <w:sz w:val="22"/>
                <w:szCs w:val="22"/>
              </w:rPr>
              <w:t>407,81</w:t>
            </w:r>
            <w:r>
              <w:rPr>
                <w:sz w:val="22"/>
                <w:szCs w:val="22"/>
              </w:rPr>
              <w:t>8</w:t>
            </w:r>
            <w:r w:rsidRPr="00182E14">
              <w:rPr>
                <w:sz w:val="22"/>
                <w:szCs w:val="22"/>
              </w:rPr>
              <w:t>,</w:t>
            </w:r>
            <w:r>
              <w:rPr>
                <w:sz w:val="22"/>
                <w:szCs w:val="22"/>
              </w:rPr>
              <w:t>000</w:t>
            </w:r>
          </w:p>
        </w:tc>
      </w:tr>
      <w:tr w:rsidR="002831F2" w:rsidRPr="005E275D" w14:paraId="1DBCBDB3" w14:textId="77777777" w:rsidTr="00C3245E">
        <w:tc>
          <w:tcPr>
            <w:tcW w:w="1985" w:type="dxa"/>
          </w:tcPr>
          <w:p w14:paraId="1F0757AF" w14:textId="77777777" w:rsidR="002831F2" w:rsidRPr="00FC304D" w:rsidRDefault="002831F2" w:rsidP="00C3245E">
            <w:pPr>
              <w:rPr>
                <w:sz w:val="22"/>
                <w:szCs w:val="22"/>
              </w:rPr>
            </w:pPr>
            <w:r w:rsidRPr="00FC304D">
              <w:rPr>
                <w:sz w:val="22"/>
                <w:szCs w:val="22"/>
              </w:rPr>
              <w:t>kg CO2-e (</w:t>
            </w:r>
            <w:r w:rsidRPr="005E275D">
              <w:rPr>
                <w:sz w:val="22"/>
                <w:szCs w:val="22"/>
              </w:rPr>
              <w:t>excl.</w:t>
            </w:r>
            <w:r w:rsidRPr="00FC304D">
              <w:rPr>
                <w:sz w:val="22"/>
                <w:szCs w:val="22"/>
              </w:rPr>
              <w:t xml:space="preserve"> stationary)</w:t>
            </w:r>
          </w:p>
        </w:tc>
        <w:tc>
          <w:tcPr>
            <w:tcW w:w="2410" w:type="dxa"/>
          </w:tcPr>
          <w:p w14:paraId="77BBA066" w14:textId="77777777" w:rsidR="002831F2" w:rsidRPr="00182E14" w:rsidRDefault="002831F2" w:rsidP="00C3245E">
            <w:pPr>
              <w:jc w:val="right"/>
              <w:rPr>
                <w:sz w:val="22"/>
                <w:szCs w:val="22"/>
              </w:rPr>
            </w:pPr>
            <w:r w:rsidRPr="00182E14">
              <w:rPr>
                <w:sz w:val="22"/>
                <w:szCs w:val="22"/>
              </w:rPr>
              <w:t>NA</w:t>
            </w:r>
          </w:p>
        </w:tc>
        <w:tc>
          <w:tcPr>
            <w:tcW w:w="2268" w:type="dxa"/>
          </w:tcPr>
          <w:p w14:paraId="7405625C" w14:textId="77777777" w:rsidR="002831F2" w:rsidRPr="00FC304D" w:rsidRDefault="002831F2" w:rsidP="00C3245E">
            <w:pPr>
              <w:jc w:val="right"/>
              <w:rPr>
                <w:sz w:val="22"/>
                <w:szCs w:val="22"/>
              </w:rPr>
            </w:pPr>
            <w:r>
              <w:rPr>
                <w:sz w:val="22"/>
                <w:szCs w:val="22"/>
              </w:rPr>
              <w:t>NA</w:t>
            </w:r>
          </w:p>
        </w:tc>
        <w:tc>
          <w:tcPr>
            <w:tcW w:w="2409" w:type="dxa"/>
          </w:tcPr>
          <w:p w14:paraId="0D9B66A0" w14:textId="77777777" w:rsidR="002831F2" w:rsidRPr="001955D6" w:rsidRDefault="002831F2" w:rsidP="00C3245E">
            <w:pPr>
              <w:ind w:firstLine="1032"/>
              <w:jc w:val="right"/>
              <w:rPr>
                <w:sz w:val="22"/>
                <w:szCs w:val="22"/>
                <w:highlight w:val="green"/>
              </w:rPr>
            </w:pPr>
            <w:r w:rsidRPr="001955D6">
              <w:rPr>
                <w:sz w:val="22"/>
                <w:szCs w:val="22"/>
              </w:rPr>
              <w:t>365,765,</w:t>
            </w:r>
            <w:r>
              <w:rPr>
                <w:sz w:val="22"/>
                <w:szCs w:val="22"/>
              </w:rPr>
              <w:t>000</w:t>
            </w:r>
          </w:p>
        </w:tc>
      </w:tr>
    </w:tbl>
    <w:p w14:paraId="6CC650FE" w14:textId="77777777" w:rsidR="002831F2" w:rsidRDefault="002831F2" w:rsidP="002831F2">
      <w:pPr>
        <w:rPr>
          <w:vertAlign w:val="superscript"/>
        </w:rPr>
      </w:pPr>
    </w:p>
    <w:p w14:paraId="0F1E1FBB" w14:textId="77777777" w:rsidR="002831F2" w:rsidRPr="00FC304D" w:rsidRDefault="002831F2" w:rsidP="002831F2">
      <w:pPr>
        <w:rPr>
          <w:b/>
          <w:bCs/>
        </w:rPr>
      </w:pPr>
      <w:r w:rsidRPr="00FC304D">
        <w:rPr>
          <w:b/>
          <w:bCs/>
        </w:rPr>
        <w:t>Pros and Cons and Recommendation</w:t>
      </w:r>
    </w:p>
    <w:p w14:paraId="11B3FB5D" w14:textId="77777777" w:rsidR="002831F2" w:rsidRPr="00FC304D" w:rsidRDefault="002831F2" w:rsidP="002831F2">
      <w:pPr>
        <w:jc w:val="both"/>
        <w:rPr>
          <w:b/>
          <w:bCs/>
        </w:rPr>
      </w:pPr>
    </w:p>
    <w:p w14:paraId="40BEDBA1" w14:textId="77777777" w:rsidR="002831F2" w:rsidRPr="00FC304D" w:rsidRDefault="002831F2" w:rsidP="002831F2">
      <w:pPr>
        <w:jc w:val="both"/>
      </w:pPr>
      <w:r>
        <w:t>A</w:t>
      </w:r>
      <w:r w:rsidRPr="00FC304D">
        <w:t>nalysis of the pros and cons of the three methods based on our two criteria is provided in Table 2.</w:t>
      </w:r>
    </w:p>
    <w:p w14:paraId="74FC75D8" w14:textId="77777777" w:rsidR="002831F2" w:rsidRPr="005E275D" w:rsidRDefault="002831F2" w:rsidP="002831F2"/>
    <w:p w14:paraId="1441CED1" w14:textId="77777777" w:rsidR="002831F2" w:rsidRPr="00FC304D" w:rsidRDefault="002831F2" w:rsidP="002831F2">
      <w:pPr>
        <w:rPr>
          <w:i/>
          <w:iCs/>
        </w:rPr>
      </w:pPr>
      <w:r w:rsidRPr="00FC304D">
        <w:rPr>
          <w:i/>
          <w:iCs/>
        </w:rPr>
        <w:t>Table 2: Pros and Cons of the three methods</w:t>
      </w:r>
    </w:p>
    <w:tbl>
      <w:tblPr>
        <w:tblStyle w:val="TableGrid"/>
        <w:tblW w:w="0" w:type="auto"/>
        <w:tblLook w:val="04A0" w:firstRow="1" w:lastRow="0" w:firstColumn="1" w:lastColumn="0" w:noHBand="0" w:noVBand="1"/>
      </w:tblPr>
      <w:tblGrid>
        <w:gridCol w:w="846"/>
        <w:gridCol w:w="2693"/>
        <w:gridCol w:w="2835"/>
        <w:gridCol w:w="2636"/>
      </w:tblGrid>
      <w:tr w:rsidR="002831F2" w:rsidRPr="005E275D" w14:paraId="1CE33808" w14:textId="77777777" w:rsidTr="00C3245E">
        <w:tc>
          <w:tcPr>
            <w:tcW w:w="846" w:type="dxa"/>
          </w:tcPr>
          <w:p w14:paraId="3BA7D868" w14:textId="77777777" w:rsidR="002831F2" w:rsidRPr="00FC304D" w:rsidRDefault="002831F2" w:rsidP="00C3245E">
            <w:pPr>
              <w:rPr>
                <w:sz w:val="22"/>
                <w:szCs w:val="22"/>
              </w:rPr>
            </w:pPr>
          </w:p>
        </w:tc>
        <w:tc>
          <w:tcPr>
            <w:tcW w:w="2693" w:type="dxa"/>
          </w:tcPr>
          <w:p w14:paraId="3125D544" w14:textId="77777777" w:rsidR="002831F2" w:rsidRPr="00FC304D" w:rsidRDefault="002831F2" w:rsidP="00C3245E">
            <w:pPr>
              <w:rPr>
                <w:b/>
                <w:bCs/>
                <w:sz w:val="22"/>
                <w:szCs w:val="22"/>
              </w:rPr>
            </w:pPr>
            <w:r w:rsidRPr="00FC304D">
              <w:rPr>
                <w:b/>
                <w:bCs/>
                <w:sz w:val="22"/>
                <w:szCs w:val="22"/>
              </w:rPr>
              <w:t>Dunedin Energy Study</w:t>
            </w:r>
          </w:p>
        </w:tc>
        <w:tc>
          <w:tcPr>
            <w:tcW w:w="2835" w:type="dxa"/>
          </w:tcPr>
          <w:p w14:paraId="1373501F" w14:textId="77777777" w:rsidR="002831F2" w:rsidRPr="00FC304D" w:rsidRDefault="002831F2" w:rsidP="00C3245E">
            <w:pPr>
              <w:rPr>
                <w:b/>
                <w:bCs/>
                <w:sz w:val="22"/>
                <w:szCs w:val="22"/>
              </w:rPr>
            </w:pPr>
            <w:r w:rsidRPr="00FC304D">
              <w:rPr>
                <w:b/>
                <w:bCs/>
                <w:sz w:val="22"/>
                <w:szCs w:val="22"/>
              </w:rPr>
              <w:t>E&amp;Y</w:t>
            </w:r>
          </w:p>
        </w:tc>
        <w:tc>
          <w:tcPr>
            <w:tcW w:w="2636" w:type="dxa"/>
          </w:tcPr>
          <w:p w14:paraId="49D57480" w14:textId="77777777" w:rsidR="002831F2" w:rsidRPr="00FC304D" w:rsidRDefault="002831F2" w:rsidP="00C3245E">
            <w:pPr>
              <w:rPr>
                <w:b/>
                <w:bCs/>
                <w:sz w:val="22"/>
                <w:szCs w:val="22"/>
              </w:rPr>
            </w:pPr>
            <w:r w:rsidRPr="00FC304D">
              <w:rPr>
                <w:b/>
                <w:bCs/>
                <w:sz w:val="22"/>
                <w:szCs w:val="22"/>
              </w:rPr>
              <w:t>AECOM</w:t>
            </w:r>
          </w:p>
        </w:tc>
      </w:tr>
      <w:tr w:rsidR="002831F2" w:rsidRPr="005E275D" w14:paraId="122E179B" w14:textId="77777777" w:rsidTr="00C3245E">
        <w:tc>
          <w:tcPr>
            <w:tcW w:w="846" w:type="dxa"/>
          </w:tcPr>
          <w:p w14:paraId="53E9431A" w14:textId="77777777" w:rsidR="002831F2" w:rsidRPr="00FC304D" w:rsidRDefault="002831F2" w:rsidP="00C3245E">
            <w:pPr>
              <w:rPr>
                <w:b/>
                <w:bCs/>
                <w:sz w:val="22"/>
                <w:szCs w:val="22"/>
              </w:rPr>
            </w:pPr>
            <w:r w:rsidRPr="00FC304D">
              <w:rPr>
                <w:b/>
                <w:bCs/>
                <w:sz w:val="22"/>
                <w:szCs w:val="22"/>
              </w:rPr>
              <w:t>Pros</w:t>
            </w:r>
          </w:p>
        </w:tc>
        <w:tc>
          <w:tcPr>
            <w:tcW w:w="2693" w:type="dxa"/>
          </w:tcPr>
          <w:p w14:paraId="36C01F20" w14:textId="77777777" w:rsidR="002831F2" w:rsidRPr="00FC304D" w:rsidRDefault="002831F2" w:rsidP="00C3245E">
            <w:pPr>
              <w:rPr>
                <w:sz w:val="22"/>
                <w:szCs w:val="22"/>
              </w:rPr>
            </w:pPr>
            <w:r w:rsidRPr="00FC304D">
              <w:rPr>
                <w:sz w:val="22"/>
                <w:szCs w:val="22"/>
              </w:rPr>
              <w:t>1. Uses Otago Region Fuel Tax Data, which records actual litres of petrol and diesel sold in the Otago region.</w:t>
            </w:r>
          </w:p>
          <w:p w14:paraId="0376F0EF" w14:textId="77777777" w:rsidR="002831F2" w:rsidRPr="00FC304D" w:rsidRDefault="002831F2" w:rsidP="00C3245E">
            <w:pPr>
              <w:rPr>
                <w:sz w:val="22"/>
                <w:szCs w:val="22"/>
              </w:rPr>
            </w:pPr>
            <w:r w:rsidRPr="00FC304D">
              <w:rPr>
                <w:sz w:val="22"/>
                <w:szCs w:val="22"/>
              </w:rPr>
              <w:t>2. Ease of data collection. Data direct from DCC (already in financial year).</w:t>
            </w:r>
          </w:p>
        </w:tc>
        <w:tc>
          <w:tcPr>
            <w:tcW w:w="2835" w:type="dxa"/>
          </w:tcPr>
          <w:p w14:paraId="0505C04B" w14:textId="77777777" w:rsidR="002831F2" w:rsidRPr="00FC304D" w:rsidRDefault="002831F2" w:rsidP="00C3245E">
            <w:pPr>
              <w:rPr>
                <w:sz w:val="22"/>
                <w:szCs w:val="22"/>
              </w:rPr>
            </w:pPr>
            <w:r w:rsidRPr="00FC304D">
              <w:rPr>
                <w:sz w:val="22"/>
                <w:szCs w:val="22"/>
              </w:rPr>
              <w:t>1. Fuel sales data for Dunedin City boundary from Stats NZ.</w:t>
            </w:r>
          </w:p>
          <w:p w14:paraId="48AEAAF4" w14:textId="77777777" w:rsidR="002831F2" w:rsidRPr="00FC304D" w:rsidRDefault="002831F2" w:rsidP="00C3245E">
            <w:pPr>
              <w:rPr>
                <w:sz w:val="22"/>
                <w:szCs w:val="22"/>
              </w:rPr>
            </w:pPr>
          </w:p>
        </w:tc>
        <w:tc>
          <w:tcPr>
            <w:tcW w:w="2636" w:type="dxa"/>
          </w:tcPr>
          <w:p w14:paraId="6FE124D6" w14:textId="77777777" w:rsidR="002831F2" w:rsidRPr="00FC304D" w:rsidRDefault="002831F2" w:rsidP="00C3245E">
            <w:pPr>
              <w:rPr>
                <w:sz w:val="22"/>
                <w:szCs w:val="22"/>
              </w:rPr>
            </w:pPr>
            <w:r w:rsidRPr="00FC304D">
              <w:rPr>
                <w:sz w:val="22"/>
                <w:szCs w:val="22"/>
              </w:rPr>
              <w:t>1. Uses Otago Region Fuel Tax Data, which records actual litres of petrol and diesel sold in the region.</w:t>
            </w:r>
          </w:p>
          <w:p w14:paraId="2B4F098C" w14:textId="77777777" w:rsidR="002831F2" w:rsidRPr="00FC304D" w:rsidRDefault="002831F2" w:rsidP="00C3245E">
            <w:pPr>
              <w:rPr>
                <w:sz w:val="22"/>
                <w:szCs w:val="22"/>
              </w:rPr>
            </w:pPr>
            <w:r w:rsidRPr="00FC304D">
              <w:rPr>
                <w:sz w:val="22"/>
                <w:szCs w:val="22"/>
              </w:rPr>
              <w:t>2. Ease of data collection. Data direct from DCC.</w:t>
            </w:r>
          </w:p>
        </w:tc>
      </w:tr>
      <w:tr w:rsidR="002831F2" w:rsidRPr="005E275D" w14:paraId="6FA684C0" w14:textId="77777777" w:rsidTr="00C3245E">
        <w:tc>
          <w:tcPr>
            <w:tcW w:w="846" w:type="dxa"/>
          </w:tcPr>
          <w:p w14:paraId="0D4C3D53" w14:textId="77777777" w:rsidR="002831F2" w:rsidRPr="00971249" w:rsidRDefault="002831F2" w:rsidP="00C3245E">
            <w:pPr>
              <w:rPr>
                <w:b/>
                <w:bCs/>
                <w:sz w:val="22"/>
                <w:szCs w:val="22"/>
              </w:rPr>
            </w:pPr>
            <w:r w:rsidRPr="00971249">
              <w:rPr>
                <w:b/>
                <w:bCs/>
                <w:sz w:val="22"/>
                <w:szCs w:val="22"/>
              </w:rPr>
              <w:t>Cons</w:t>
            </w:r>
          </w:p>
        </w:tc>
        <w:tc>
          <w:tcPr>
            <w:tcW w:w="2693" w:type="dxa"/>
          </w:tcPr>
          <w:p w14:paraId="40D94C7A" w14:textId="77777777" w:rsidR="002831F2" w:rsidRPr="00971249" w:rsidRDefault="002831F2" w:rsidP="00C3245E">
            <w:pPr>
              <w:rPr>
                <w:sz w:val="22"/>
                <w:szCs w:val="22"/>
              </w:rPr>
            </w:pPr>
            <w:r w:rsidRPr="00971249">
              <w:rPr>
                <w:sz w:val="22"/>
                <w:szCs w:val="22"/>
              </w:rPr>
              <w:t xml:space="preserve">1. Uses total rate income for each territorial authority to determine Dunedin City share. Rates are unlikely to be well correlated with fuel use. </w:t>
            </w:r>
          </w:p>
          <w:p w14:paraId="6B57CE6B" w14:textId="77777777" w:rsidR="002831F2" w:rsidRPr="00971249" w:rsidRDefault="002831F2" w:rsidP="00C3245E">
            <w:pPr>
              <w:rPr>
                <w:sz w:val="22"/>
                <w:szCs w:val="22"/>
              </w:rPr>
            </w:pPr>
            <w:r w:rsidRPr="00971249">
              <w:rPr>
                <w:sz w:val="22"/>
                <w:szCs w:val="22"/>
              </w:rPr>
              <w:t>2. In addition, proportion of diesel and petrol may not be the same for each territorial authority.</w:t>
            </w:r>
          </w:p>
          <w:p w14:paraId="2296C081" w14:textId="77777777" w:rsidR="002831F2" w:rsidRPr="00971249" w:rsidRDefault="002831F2" w:rsidP="00C3245E">
            <w:pPr>
              <w:rPr>
                <w:sz w:val="22"/>
                <w:szCs w:val="22"/>
              </w:rPr>
            </w:pPr>
            <w:r w:rsidRPr="00971249">
              <w:rPr>
                <w:color w:val="000000"/>
                <w:sz w:val="22"/>
                <w:szCs w:val="22"/>
              </w:rPr>
              <w:t>3. Fuel purchased in Dunedin is not necessarily used in Dunedin</w:t>
            </w:r>
          </w:p>
        </w:tc>
        <w:tc>
          <w:tcPr>
            <w:tcW w:w="2835" w:type="dxa"/>
          </w:tcPr>
          <w:p w14:paraId="0C63E26B" w14:textId="77777777" w:rsidR="002831F2" w:rsidRPr="00971249" w:rsidRDefault="002831F2" w:rsidP="00C3245E">
            <w:pPr>
              <w:rPr>
                <w:sz w:val="22"/>
                <w:szCs w:val="22"/>
              </w:rPr>
            </w:pPr>
            <w:r w:rsidRPr="00971249">
              <w:rPr>
                <w:sz w:val="22"/>
                <w:szCs w:val="22"/>
              </w:rPr>
              <w:t xml:space="preserve">1. Need to request data from </w:t>
            </w:r>
            <w:proofErr w:type="spellStart"/>
            <w:r w:rsidRPr="00971249">
              <w:rPr>
                <w:sz w:val="22"/>
                <w:szCs w:val="22"/>
              </w:rPr>
              <w:t>StatsNZ</w:t>
            </w:r>
            <w:proofErr w:type="spellEnd"/>
            <w:r w:rsidRPr="00971249">
              <w:rPr>
                <w:sz w:val="22"/>
                <w:szCs w:val="22"/>
              </w:rPr>
              <w:t>.</w:t>
            </w:r>
          </w:p>
          <w:p w14:paraId="6EF1D645" w14:textId="77777777" w:rsidR="002831F2" w:rsidRPr="00971249" w:rsidRDefault="002831F2" w:rsidP="00C3245E">
            <w:pPr>
              <w:rPr>
                <w:sz w:val="22"/>
                <w:szCs w:val="22"/>
              </w:rPr>
            </w:pPr>
            <w:r w:rsidRPr="00971249">
              <w:rPr>
                <w:sz w:val="22"/>
                <w:szCs w:val="22"/>
              </w:rPr>
              <w:t>2. Complicated with many additional assumptions which potentially lead to inaccuracy (e.g. very sensitive to fuel prices)</w:t>
            </w:r>
            <w:r>
              <w:rPr>
                <w:rStyle w:val="FootnoteReference"/>
                <w:sz w:val="22"/>
                <w:szCs w:val="22"/>
              </w:rPr>
              <w:footnoteReference w:id="2"/>
            </w:r>
            <w:r w:rsidRPr="00971249">
              <w:rPr>
                <w:sz w:val="22"/>
                <w:szCs w:val="22"/>
              </w:rPr>
              <w:t>.</w:t>
            </w:r>
          </w:p>
          <w:p w14:paraId="4EB60622" w14:textId="77777777" w:rsidR="002831F2" w:rsidRPr="00971249" w:rsidRDefault="002831F2" w:rsidP="00C3245E">
            <w:pPr>
              <w:rPr>
                <w:sz w:val="22"/>
                <w:szCs w:val="22"/>
              </w:rPr>
            </w:pPr>
            <w:r w:rsidRPr="00971249">
              <w:rPr>
                <w:sz w:val="22"/>
                <w:szCs w:val="22"/>
              </w:rPr>
              <w:t xml:space="preserve">3. Uses combination of EECA End Use Database and MBIE fuel prices to determine diesel and petrol share. These are both national averages and do not necessarily correspond to Dunedin/Otago - fuel prices, </w:t>
            </w:r>
            <w:r w:rsidRPr="00971249">
              <w:rPr>
                <w:sz w:val="22"/>
                <w:szCs w:val="22"/>
              </w:rPr>
              <w:lastRenderedPageBreak/>
              <w:t>diesel/petrol split are likely to be different.</w:t>
            </w:r>
          </w:p>
          <w:p w14:paraId="381623F0" w14:textId="77777777" w:rsidR="002831F2" w:rsidRPr="00971249" w:rsidRDefault="002831F2" w:rsidP="00C3245E">
            <w:pPr>
              <w:rPr>
                <w:sz w:val="22"/>
                <w:szCs w:val="22"/>
              </w:rPr>
            </w:pPr>
            <w:r w:rsidRPr="00971249">
              <w:rPr>
                <w:color w:val="000000"/>
                <w:sz w:val="22"/>
                <w:szCs w:val="22"/>
              </w:rPr>
              <w:t>4. Fuel purchased in Dunedin is not necessarily used in Dunedin.</w:t>
            </w:r>
          </w:p>
        </w:tc>
        <w:tc>
          <w:tcPr>
            <w:tcW w:w="2636" w:type="dxa"/>
          </w:tcPr>
          <w:p w14:paraId="446D8302" w14:textId="77777777" w:rsidR="002831F2" w:rsidRPr="00971249" w:rsidRDefault="002831F2" w:rsidP="00C3245E">
            <w:pPr>
              <w:rPr>
                <w:sz w:val="22"/>
                <w:szCs w:val="22"/>
              </w:rPr>
            </w:pPr>
            <w:r w:rsidRPr="00971249">
              <w:rPr>
                <w:sz w:val="22"/>
                <w:szCs w:val="22"/>
              </w:rPr>
              <w:lastRenderedPageBreak/>
              <w:t xml:space="preserve">1. Uses VKT data to determine Dunedin City share. Not perfect but probably more reflective of fuel use. </w:t>
            </w:r>
          </w:p>
          <w:p w14:paraId="3847AEE1" w14:textId="77777777" w:rsidR="002831F2" w:rsidRPr="00971249" w:rsidRDefault="002831F2" w:rsidP="00C3245E">
            <w:pPr>
              <w:rPr>
                <w:sz w:val="22"/>
                <w:szCs w:val="22"/>
              </w:rPr>
            </w:pPr>
            <w:r w:rsidRPr="00971249">
              <w:rPr>
                <w:sz w:val="22"/>
                <w:szCs w:val="22"/>
              </w:rPr>
              <w:t>2. Proportion of diesel and petrol may not be the same for each district.</w:t>
            </w:r>
          </w:p>
          <w:p w14:paraId="310CCEB2" w14:textId="77777777" w:rsidR="002831F2" w:rsidRPr="00971249" w:rsidRDefault="002831F2" w:rsidP="00C3245E">
            <w:pPr>
              <w:rPr>
                <w:sz w:val="22"/>
                <w:szCs w:val="22"/>
              </w:rPr>
            </w:pPr>
            <w:r w:rsidRPr="00971249">
              <w:rPr>
                <w:sz w:val="22"/>
                <w:szCs w:val="22"/>
              </w:rPr>
              <w:t>3. VKT data must be requested from NZTA. (Not clear if this is financial year).</w:t>
            </w:r>
          </w:p>
          <w:p w14:paraId="53625E27" w14:textId="77777777" w:rsidR="002831F2" w:rsidRDefault="002831F2" w:rsidP="00C3245E">
            <w:pPr>
              <w:rPr>
                <w:color w:val="000000"/>
                <w:sz w:val="22"/>
                <w:szCs w:val="22"/>
              </w:rPr>
            </w:pPr>
            <w:r w:rsidRPr="00971249">
              <w:rPr>
                <w:color w:val="000000"/>
                <w:sz w:val="22"/>
                <w:szCs w:val="22"/>
              </w:rPr>
              <w:t>4. Fuel purchased in Dunedin is not necessarily used in Dunedin.</w:t>
            </w:r>
          </w:p>
          <w:p w14:paraId="7FC2CFB0" w14:textId="77777777" w:rsidR="002831F2" w:rsidRPr="00971249" w:rsidRDefault="002831F2" w:rsidP="00C3245E">
            <w:pPr>
              <w:rPr>
                <w:sz w:val="22"/>
                <w:szCs w:val="22"/>
              </w:rPr>
            </w:pPr>
            <w:r>
              <w:rPr>
                <w:color w:val="000000"/>
                <w:sz w:val="22"/>
                <w:szCs w:val="22"/>
              </w:rPr>
              <w:lastRenderedPageBreak/>
              <w:t>5. Estimates GHG emissions from stationary use of fuel</w:t>
            </w:r>
          </w:p>
        </w:tc>
      </w:tr>
    </w:tbl>
    <w:p w14:paraId="623FB6A7" w14:textId="77777777" w:rsidR="002831F2" w:rsidRDefault="002831F2" w:rsidP="002831F2">
      <w:pPr>
        <w:spacing w:line="276" w:lineRule="auto"/>
        <w:jc w:val="both"/>
      </w:pPr>
    </w:p>
    <w:p w14:paraId="414F1D14" w14:textId="2E91744D" w:rsidR="002831F2" w:rsidRPr="00971249" w:rsidRDefault="002831F2" w:rsidP="002831F2">
      <w:pPr>
        <w:spacing w:line="276" w:lineRule="auto"/>
        <w:jc w:val="both"/>
      </w:pPr>
      <w:r w:rsidRPr="00971249">
        <w:t xml:space="preserve">Based on this assessment, </w:t>
      </w:r>
      <w:r w:rsidRPr="001955D6">
        <w:rPr>
          <w:u w:val="single"/>
        </w:rPr>
        <w:t>our recommendation is that the AECOM method provides the most accurate estimate</w:t>
      </w:r>
      <w:r w:rsidRPr="00971249">
        <w:t xml:space="preserve">. It uses Otago region fuel tax data, which records actual volume of petrol and diesel sold in the Otago region. It also uses VKT data to determine Dunedin City share, which is likely to be more accurate than using rates (Dunedin Energy Study method) which have no real relation to fuel use. </w:t>
      </w:r>
      <w:r>
        <w:t>We do not recommend any attempt to  remove stationary energy from t</w:t>
      </w:r>
      <w:r w:rsidR="00840A06">
        <w:t xml:space="preserve">otal petrol and diesel use </w:t>
      </w:r>
      <w:r>
        <w:t>as it is very difficult to do this systematically.</w:t>
      </w:r>
    </w:p>
    <w:p w14:paraId="131B5E23" w14:textId="77777777" w:rsidR="002831F2" w:rsidRPr="00202B99" w:rsidRDefault="002831F2" w:rsidP="002831F2">
      <w:pPr>
        <w:rPr>
          <w:rFonts w:asciiTheme="minorHAnsi" w:hAnsiTheme="minorHAnsi" w:cstheme="minorHAnsi"/>
        </w:rPr>
      </w:pPr>
    </w:p>
    <w:p w14:paraId="1BF71E56" w14:textId="77777777" w:rsidR="002831F2" w:rsidRPr="00971249" w:rsidRDefault="002831F2" w:rsidP="002831F2">
      <w:pPr>
        <w:spacing w:line="276" w:lineRule="auto"/>
        <w:jc w:val="both"/>
      </w:pPr>
      <w:r w:rsidRPr="00971249">
        <w:t>Shortcomings of the method are:</w:t>
      </w:r>
    </w:p>
    <w:p w14:paraId="725396DD" w14:textId="381B2607" w:rsidR="002831F2" w:rsidRPr="00971249" w:rsidRDefault="002831F2" w:rsidP="002831F2">
      <w:pPr>
        <w:pStyle w:val="ListParagraph"/>
        <w:numPr>
          <w:ilvl w:val="0"/>
          <w:numId w:val="1"/>
        </w:numPr>
        <w:spacing w:line="276" w:lineRule="auto"/>
        <w:jc w:val="both"/>
        <w:rPr>
          <w:rFonts w:ascii="Times New Roman" w:hAnsi="Times New Roman" w:cs="Times New Roman"/>
        </w:rPr>
      </w:pPr>
      <w:r w:rsidRPr="00971249">
        <w:rPr>
          <w:rFonts w:ascii="Times New Roman" w:hAnsi="Times New Roman" w:cs="Times New Roman"/>
        </w:rPr>
        <w:t>the inaccuracy of VKT data for determining Dunedin</w:t>
      </w:r>
      <w:r>
        <w:rPr>
          <w:rFonts w:ascii="Times New Roman" w:hAnsi="Times New Roman" w:cs="Times New Roman"/>
        </w:rPr>
        <w:t xml:space="preserve"> City</w:t>
      </w:r>
      <w:r w:rsidRPr="00971249">
        <w:rPr>
          <w:rFonts w:ascii="Times New Roman" w:hAnsi="Times New Roman" w:cs="Times New Roman"/>
        </w:rPr>
        <w:t>’s share of fuel use</w:t>
      </w:r>
      <w:r w:rsidRPr="00971249">
        <w:rPr>
          <w:rStyle w:val="FootnoteReference"/>
          <w:rFonts w:ascii="Times New Roman" w:hAnsi="Times New Roman" w:cs="Times New Roman"/>
        </w:rPr>
        <w:footnoteReference w:id="3"/>
      </w:r>
      <w:r w:rsidRPr="00971249">
        <w:rPr>
          <w:rFonts w:ascii="Times New Roman" w:hAnsi="Times New Roman" w:cs="Times New Roman"/>
        </w:rPr>
        <w:t xml:space="preserve">. For example, </w:t>
      </w:r>
      <w:r w:rsidR="00840A06" w:rsidRPr="00840A06">
        <w:rPr>
          <w:rFonts w:ascii="Times New Roman" w:hAnsi="Times New Roman" w:cs="Times New Roman"/>
        </w:rPr>
        <w:t>the EY method using Stats NZ fuel sales data estimates Dunedin’s relative share of the total regional fuel to be 28% compared to A</w:t>
      </w:r>
      <w:r w:rsidR="00840A06">
        <w:rPr>
          <w:rFonts w:ascii="Times New Roman" w:hAnsi="Times New Roman" w:cs="Times New Roman"/>
        </w:rPr>
        <w:t>ECOM</w:t>
      </w:r>
      <w:r w:rsidR="00840A06" w:rsidRPr="00840A06">
        <w:rPr>
          <w:rFonts w:ascii="Times New Roman" w:hAnsi="Times New Roman" w:cs="Times New Roman"/>
        </w:rPr>
        <w:t>’s 54%.</w:t>
      </w:r>
    </w:p>
    <w:p w14:paraId="0BCFA362" w14:textId="60D65F01" w:rsidR="002831F2" w:rsidRDefault="002831F2" w:rsidP="002831F2">
      <w:pPr>
        <w:pStyle w:val="ListParagraph"/>
        <w:numPr>
          <w:ilvl w:val="0"/>
          <w:numId w:val="1"/>
        </w:numPr>
        <w:spacing w:line="276" w:lineRule="auto"/>
        <w:jc w:val="both"/>
        <w:rPr>
          <w:rFonts w:ascii="Times New Roman" w:hAnsi="Times New Roman" w:cs="Times New Roman"/>
        </w:rPr>
      </w:pPr>
      <w:r w:rsidRPr="00182E14">
        <w:rPr>
          <w:rFonts w:ascii="Times New Roman" w:hAnsi="Times New Roman" w:cs="Times New Roman"/>
        </w:rPr>
        <w:t xml:space="preserve">the method uses the same ratio of diesel and petrol for all 3 </w:t>
      </w:r>
      <w:r>
        <w:rPr>
          <w:rFonts w:ascii="Times New Roman" w:hAnsi="Times New Roman" w:cs="Times New Roman"/>
        </w:rPr>
        <w:t>territorial authorities</w:t>
      </w:r>
      <w:r w:rsidRPr="00182E14">
        <w:rPr>
          <w:rFonts w:ascii="Times New Roman" w:hAnsi="Times New Roman" w:cs="Times New Roman"/>
        </w:rPr>
        <w:t>. Dunedin City is likely to use a smaller share of diesel than more rural areas.</w:t>
      </w:r>
      <w:r w:rsidR="00035617">
        <w:rPr>
          <w:rFonts w:ascii="Times New Roman" w:hAnsi="Times New Roman" w:cs="Times New Roman"/>
        </w:rPr>
        <w:t xml:space="preserve"> The ratio of petrol to diesel from the Otago region fuel tax data is </w:t>
      </w:r>
      <w:r w:rsidR="00035617" w:rsidRPr="00182E14">
        <w:rPr>
          <w:rFonts w:ascii="Times New Roman" w:hAnsi="Times New Roman" w:cs="Times New Roman"/>
        </w:rPr>
        <w:t>38%:64%</w:t>
      </w:r>
      <w:r w:rsidR="00035617">
        <w:rPr>
          <w:rFonts w:ascii="Times New Roman" w:hAnsi="Times New Roman" w:cs="Times New Roman"/>
        </w:rPr>
        <w:t>. The AECOM method assumes that this same ratio applies to Dunedin City. This is likely to be an over estimate of the diesel proportion as the</w:t>
      </w:r>
      <w:r w:rsidRPr="00182E14">
        <w:rPr>
          <w:rFonts w:ascii="Times New Roman" w:hAnsi="Times New Roman" w:cs="Times New Roman"/>
        </w:rPr>
        <w:t xml:space="preserve"> NZ national ratio for petrol to diesel in litres </w:t>
      </w:r>
      <w:r w:rsidRPr="001955D6">
        <w:rPr>
          <w:rFonts w:ascii="Times New Roman" w:hAnsi="Times New Roman" w:cs="Times New Roman"/>
        </w:rPr>
        <w:t>is 45%:55%</w:t>
      </w:r>
      <w:r w:rsidR="00035617">
        <w:rPr>
          <w:rFonts w:ascii="Times New Roman" w:hAnsi="Times New Roman" w:cs="Times New Roman"/>
        </w:rPr>
        <w:t xml:space="preserve"> (based on EECA End Use Database)</w:t>
      </w:r>
      <w:r w:rsidRPr="00182E14">
        <w:rPr>
          <w:rFonts w:ascii="Times New Roman" w:hAnsi="Times New Roman" w:cs="Times New Roman"/>
        </w:rPr>
        <w:t>.</w:t>
      </w:r>
    </w:p>
    <w:p w14:paraId="37BBAD43" w14:textId="77777777" w:rsidR="002831F2" w:rsidRPr="00182E14" w:rsidRDefault="002831F2" w:rsidP="002831F2">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the method uses national figures for determining the percentage allocated to stationary fuel. This is likely to vary from region to region and it is difficult to determine what percentage of petrol and diesel purchased from the locations in the fuel tax data is used for stationary applications as many have dedicated delivery.</w:t>
      </w:r>
    </w:p>
    <w:p w14:paraId="35F2A1D5" w14:textId="77777777" w:rsidR="002831F2" w:rsidRPr="003564D8" w:rsidRDefault="002831F2" w:rsidP="002831F2">
      <w:pPr>
        <w:spacing w:line="276" w:lineRule="auto"/>
        <w:jc w:val="both"/>
      </w:pPr>
      <w:r>
        <w:t>The first two</w:t>
      </w:r>
      <w:r w:rsidRPr="00971249">
        <w:t xml:space="preserve"> of these shortcomings are likely to lead to the AECOM method overestimating the GHG emissions. However, of the 3 methods analysed, the AECOM method is likely to be the most accurate. A more accurate method would </w:t>
      </w:r>
      <w:r>
        <w:t xml:space="preserve">require </w:t>
      </w:r>
      <w:r w:rsidRPr="00971249">
        <w:t xml:space="preserve">fuel sales for both petrol and diesel (in litres) to be collected for the Dunedin City area. Note that all methods suffer from the </w:t>
      </w:r>
      <w:r w:rsidRPr="00971249">
        <w:rPr>
          <w:color w:val="000000"/>
        </w:rPr>
        <w:t>limitation that fuel purchased in Dunedin is not necessarily used in Dunedin</w:t>
      </w:r>
      <w:r w:rsidRPr="003564D8">
        <w:rPr>
          <w:color w:val="000000"/>
        </w:rPr>
        <w:t xml:space="preserve">. However, this is similar to </w:t>
      </w:r>
      <w:r>
        <w:rPr>
          <w:color w:val="000000"/>
        </w:rPr>
        <w:t xml:space="preserve">the situation for </w:t>
      </w:r>
      <w:r w:rsidRPr="003564D8">
        <w:rPr>
          <w:color w:val="000000"/>
        </w:rPr>
        <w:t xml:space="preserve">many other </w:t>
      </w:r>
      <w:r>
        <w:rPr>
          <w:color w:val="000000"/>
        </w:rPr>
        <w:t>sources</w:t>
      </w:r>
      <w:r w:rsidRPr="003564D8">
        <w:rPr>
          <w:color w:val="000000"/>
        </w:rPr>
        <w:t xml:space="preserve"> of energy.</w:t>
      </w:r>
    </w:p>
    <w:p w14:paraId="38372E96" w14:textId="77777777" w:rsidR="002831F2" w:rsidRPr="00202B99" w:rsidRDefault="002831F2" w:rsidP="002831F2">
      <w:pPr>
        <w:rPr>
          <w:rFonts w:asciiTheme="minorHAnsi" w:hAnsiTheme="minorHAnsi" w:cstheme="minorHAnsi"/>
        </w:rPr>
      </w:pPr>
    </w:p>
    <w:p w14:paraId="380311E6" w14:textId="77777777" w:rsidR="002831F2" w:rsidRDefault="002831F2" w:rsidP="002831F2"/>
    <w:p w14:paraId="68D2837D" w14:textId="77777777" w:rsidR="002831F2" w:rsidRDefault="002831F2" w:rsidP="002831F2"/>
    <w:p w14:paraId="6F0B3191" w14:textId="77777777" w:rsidR="002831F2" w:rsidRDefault="002831F2" w:rsidP="002831F2">
      <w:r>
        <w:br w:type="page"/>
      </w:r>
    </w:p>
    <w:p w14:paraId="1B797BBE" w14:textId="77777777" w:rsidR="002831F2" w:rsidRDefault="002831F2" w:rsidP="002831F2">
      <w:pPr>
        <w:rPr>
          <w:b/>
          <w:bCs/>
        </w:rPr>
      </w:pPr>
      <w:r>
        <w:rPr>
          <w:b/>
          <w:bCs/>
        </w:rPr>
        <w:lastRenderedPageBreak/>
        <w:t>Appendix</w:t>
      </w:r>
    </w:p>
    <w:p w14:paraId="1E8CE970" w14:textId="77777777" w:rsidR="002831F2" w:rsidRPr="008B5C0A" w:rsidRDefault="002831F2" w:rsidP="002831F2">
      <w:pPr>
        <w:rPr>
          <w:u w:val="single"/>
        </w:rPr>
      </w:pPr>
      <w:r w:rsidRPr="008B5C0A">
        <w:rPr>
          <w:u w:val="single"/>
        </w:rPr>
        <w:t xml:space="preserve">Dunedin Energy Study Methodology </w:t>
      </w:r>
    </w:p>
    <w:p w14:paraId="1EE4371F" w14:textId="77777777" w:rsidR="002831F2" w:rsidRDefault="002831F2" w:rsidP="002831F2">
      <w:pPr>
        <w:spacing w:before="120" w:after="120" w:line="276" w:lineRule="auto"/>
        <w:jc w:val="both"/>
      </w:pPr>
      <w:r>
        <w:t>This methodology uses Dunedin City Council (DCC) data on fuel use used for fuel tax calculations. This methodology has been used in recent years to apportion fuel use for Dunedin City in the Dunedin Energy Study.</w:t>
      </w:r>
    </w:p>
    <w:p w14:paraId="3423540A" w14:textId="77777777" w:rsidR="002831F2" w:rsidRDefault="002831F2" w:rsidP="002831F2">
      <w:pPr>
        <w:spacing w:before="120" w:after="120" w:line="276" w:lineRule="auto"/>
        <w:jc w:val="both"/>
      </w:pPr>
      <w:r>
        <w:t>DCC data was received from Jessie Wu (</w:t>
      </w:r>
      <w:r w:rsidRPr="00547A3F">
        <w:rPr>
          <w:u w:val="single"/>
        </w:rPr>
        <w:t>Jessie.Wu@dcc.govt.nz</w:t>
      </w:r>
      <w:r>
        <w:rPr>
          <w:u w:val="single"/>
        </w:rPr>
        <w:t xml:space="preserve">) </w:t>
      </w:r>
      <w:r>
        <w:t>on the 1</w:t>
      </w:r>
      <w:r w:rsidRPr="00547A3F">
        <w:rPr>
          <w:vertAlign w:val="superscript"/>
        </w:rPr>
        <w:t>st</w:t>
      </w:r>
      <w:r>
        <w:t xml:space="preserve"> of July 2021. The provided spreadsheet is organised in financial years. For this report, the 2018/2019 financial year (01.07.2018-30.06.2019) is considered.</w:t>
      </w:r>
    </w:p>
    <w:p w14:paraId="4A5BCAD0" w14:textId="77777777" w:rsidR="002831F2" w:rsidRPr="00547A3F" w:rsidRDefault="002831F2" w:rsidP="002831F2">
      <w:pPr>
        <w:spacing w:before="120" w:after="120" w:line="276" w:lineRule="auto"/>
        <w:jc w:val="both"/>
        <w:rPr>
          <w:u w:val="single"/>
        </w:rPr>
      </w:pPr>
      <w:r>
        <w:t>In a first step, petrol and diesel supplied from petrol stations (in litres per month) are summed  to an annual total. This data is provided for the entire Otago region (i.e. made up of 3 territorial authorities: Waitaki District, Clutha District, and Dunedin City). The proportion of petrol and diesel supplied to Dunedin City alone is based on yearly rates. For the 2018/2019 financial year the following rates were received in each territorial authority:</w:t>
      </w:r>
    </w:p>
    <w:tbl>
      <w:tblPr>
        <w:tblStyle w:val="TableGrid"/>
        <w:tblW w:w="0" w:type="auto"/>
        <w:jc w:val="center"/>
        <w:tblLook w:val="04A0" w:firstRow="1" w:lastRow="0" w:firstColumn="1" w:lastColumn="0" w:noHBand="0" w:noVBand="1"/>
      </w:tblPr>
      <w:tblGrid>
        <w:gridCol w:w="2516"/>
        <w:gridCol w:w="2576"/>
        <w:gridCol w:w="1470"/>
      </w:tblGrid>
      <w:tr w:rsidR="002831F2" w:rsidRPr="000A5F16" w14:paraId="1C9E529B" w14:textId="77777777" w:rsidTr="00C3245E">
        <w:trPr>
          <w:jc w:val="center"/>
        </w:trPr>
        <w:tc>
          <w:tcPr>
            <w:tcW w:w="2516" w:type="dxa"/>
          </w:tcPr>
          <w:p w14:paraId="3E807CD5" w14:textId="77777777" w:rsidR="002831F2" w:rsidRPr="000A5F16" w:rsidRDefault="002831F2" w:rsidP="00C3245E">
            <w:pPr>
              <w:rPr>
                <w:b/>
                <w:bCs/>
                <w:sz w:val="22"/>
                <w:szCs w:val="22"/>
              </w:rPr>
            </w:pPr>
            <w:r w:rsidRPr="000A5F16">
              <w:rPr>
                <w:b/>
                <w:bCs/>
                <w:sz w:val="22"/>
                <w:szCs w:val="22"/>
              </w:rPr>
              <w:t>Territorial Authority</w:t>
            </w:r>
          </w:p>
        </w:tc>
        <w:tc>
          <w:tcPr>
            <w:tcW w:w="2576" w:type="dxa"/>
          </w:tcPr>
          <w:p w14:paraId="6241C71A" w14:textId="77777777" w:rsidR="002831F2" w:rsidRPr="000A5F16" w:rsidRDefault="002831F2" w:rsidP="00C3245E">
            <w:pPr>
              <w:rPr>
                <w:b/>
                <w:bCs/>
                <w:sz w:val="22"/>
                <w:szCs w:val="22"/>
              </w:rPr>
            </w:pPr>
            <w:r w:rsidRPr="000A5F16">
              <w:rPr>
                <w:b/>
                <w:bCs/>
                <w:sz w:val="22"/>
                <w:szCs w:val="22"/>
              </w:rPr>
              <w:t>Annual rates received</w:t>
            </w:r>
          </w:p>
        </w:tc>
        <w:tc>
          <w:tcPr>
            <w:tcW w:w="1470" w:type="dxa"/>
          </w:tcPr>
          <w:p w14:paraId="1080147A" w14:textId="77777777" w:rsidR="002831F2" w:rsidRPr="000A5F16" w:rsidRDefault="002831F2" w:rsidP="00C3245E">
            <w:pPr>
              <w:rPr>
                <w:b/>
                <w:bCs/>
                <w:sz w:val="22"/>
                <w:szCs w:val="22"/>
              </w:rPr>
            </w:pPr>
            <w:r w:rsidRPr="000A5F16">
              <w:rPr>
                <w:b/>
                <w:bCs/>
                <w:sz w:val="22"/>
                <w:szCs w:val="22"/>
              </w:rPr>
              <w:t>Proportion</w:t>
            </w:r>
          </w:p>
        </w:tc>
      </w:tr>
      <w:tr w:rsidR="002831F2" w:rsidRPr="000A5F16" w14:paraId="2864AD54" w14:textId="77777777" w:rsidTr="00C3245E">
        <w:trPr>
          <w:jc w:val="center"/>
        </w:trPr>
        <w:tc>
          <w:tcPr>
            <w:tcW w:w="2516" w:type="dxa"/>
            <w:vAlign w:val="bottom"/>
          </w:tcPr>
          <w:p w14:paraId="00D3C653" w14:textId="77777777" w:rsidR="002831F2" w:rsidRPr="000A5F16" w:rsidRDefault="002831F2" w:rsidP="00C3245E">
            <w:pPr>
              <w:rPr>
                <w:sz w:val="22"/>
                <w:szCs w:val="22"/>
              </w:rPr>
            </w:pPr>
            <w:r w:rsidRPr="000A5F16">
              <w:rPr>
                <w:sz w:val="22"/>
                <w:szCs w:val="22"/>
              </w:rPr>
              <w:t>Dunedin City</w:t>
            </w:r>
          </w:p>
        </w:tc>
        <w:tc>
          <w:tcPr>
            <w:tcW w:w="2576" w:type="dxa"/>
            <w:vAlign w:val="bottom"/>
          </w:tcPr>
          <w:p w14:paraId="576C129A" w14:textId="77777777" w:rsidR="002831F2" w:rsidRPr="000A5F16" w:rsidRDefault="002831F2" w:rsidP="00C3245E">
            <w:pPr>
              <w:rPr>
                <w:sz w:val="22"/>
                <w:szCs w:val="22"/>
              </w:rPr>
            </w:pPr>
            <w:r w:rsidRPr="000A5F16">
              <w:rPr>
                <w:sz w:val="22"/>
                <w:szCs w:val="22"/>
              </w:rPr>
              <w:t>$125,394,000</w:t>
            </w:r>
          </w:p>
        </w:tc>
        <w:tc>
          <w:tcPr>
            <w:tcW w:w="1470" w:type="dxa"/>
            <w:vAlign w:val="bottom"/>
          </w:tcPr>
          <w:p w14:paraId="68127D7A" w14:textId="77777777" w:rsidR="002831F2" w:rsidRPr="000A5F16" w:rsidRDefault="002831F2" w:rsidP="00C3245E">
            <w:pPr>
              <w:rPr>
                <w:sz w:val="22"/>
                <w:szCs w:val="22"/>
              </w:rPr>
            </w:pPr>
            <w:r w:rsidRPr="000A5F16">
              <w:rPr>
                <w:sz w:val="22"/>
                <w:szCs w:val="22"/>
              </w:rPr>
              <w:t>70.4%</w:t>
            </w:r>
          </w:p>
        </w:tc>
      </w:tr>
      <w:tr w:rsidR="002831F2" w:rsidRPr="000A5F16" w14:paraId="2E870A6F" w14:textId="77777777" w:rsidTr="00C3245E">
        <w:trPr>
          <w:jc w:val="center"/>
        </w:trPr>
        <w:tc>
          <w:tcPr>
            <w:tcW w:w="2516" w:type="dxa"/>
            <w:vAlign w:val="bottom"/>
          </w:tcPr>
          <w:p w14:paraId="395A3A98" w14:textId="77777777" w:rsidR="002831F2" w:rsidRPr="000A5F16" w:rsidRDefault="002831F2" w:rsidP="00C3245E">
            <w:pPr>
              <w:rPr>
                <w:sz w:val="22"/>
                <w:szCs w:val="22"/>
              </w:rPr>
            </w:pPr>
            <w:r w:rsidRPr="000A5F16">
              <w:rPr>
                <w:sz w:val="22"/>
                <w:szCs w:val="22"/>
              </w:rPr>
              <w:t>Waitaki District</w:t>
            </w:r>
          </w:p>
        </w:tc>
        <w:tc>
          <w:tcPr>
            <w:tcW w:w="2576" w:type="dxa"/>
            <w:vAlign w:val="bottom"/>
          </w:tcPr>
          <w:p w14:paraId="5586B335" w14:textId="77777777" w:rsidR="002831F2" w:rsidRPr="000A5F16" w:rsidRDefault="002831F2" w:rsidP="00C3245E">
            <w:pPr>
              <w:rPr>
                <w:sz w:val="22"/>
                <w:szCs w:val="22"/>
              </w:rPr>
            </w:pPr>
            <w:r w:rsidRPr="000A5F16">
              <w:rPr>
                <w:sz w:val="22"/>
                <w:szCs w:val="22"/>
              </w:rPr>
              <w:t>$29,138,320</w:t>
            </w:r>
          </w:p>
        </w:tc>
        <w:tc>
          <w:tcPr>
            <w:tcW w:w="1470" w:type="dxa"/>
            <w:vAlign w:val="bottom"/>
          </w:tcPr>
          <w:p w14:paraId="2B95D7DD" w14:textId="77777777" w:rsidR="002831F2" w:rsidRPr="000A5F16" w:rsidRDefault="002831F2" w:rsidP="00C3245E">
            <w:pPr>
              <w:rPr>
                <w:sz w:val="22"/>
                <w:szCs w:val="22"/>
              </w:rPr>
            </w:pPr>
            <w:r w:rsidRPr="000A5F16">
              <w:rPr>
                <w:sz w:val="22"/>
                <w:szCs w:val="22"/>
              </w:rPr>
              <w:t>16.3%</w:t>
            </w:r>
          </w:p>
        </w:tc>
      </w:tr>
      <w:tr w:rsidR="002831F2" w:rsidRPr="000A5F16" w14:paraId="686B3504" w14:textId="77777777" w:rsidTr="00C3245E">
        <w:trPr>
          <w:jc w:val="center"/>
        </w:trPr>
        <w:tc>
          <w:tcPr>
            <w:tcW w:w="2516" w:type="dxa"/>
            <w:vAlign w:val="bottom"/>
          </w:tcPr>
          <w:p w14:paraId="0DA8134D" w14:textId="77777777" w:rsidR="002831F2" w:rsidRPr="000A5F16" w:rsidRDefault="002831F2" w:rsidP="00C3245E">
            <w:pPr>
              <w:rPr>
                <w:sz w:val="22"/>
                <w:szCs w:val="22"/>
              </w:rPr>
            </w:pPr>
            <w:r w:rsidRPr="000A5F16">
              <w:rPr>
                <w:sz w:val="22"/>
                <w:szCs w:val="22"/>
              </w:rPr>
              <w:t>Clutha District</w:t>
            </w:r>
          </w:p>
        </w:tc>
        <w:tc>
          <w:tcPr>
            <w:tcW w:w="2576" w:type="dxa"/>
            <w:vAlign w:val="bottom"/>
          </w:tcPr>
          <w:p w14:paraId="03F935B0" w14:textId="77777777" w:rsidR="002831F2" w:rsidRPr="000A5F16" w:rsidRDefault="002831F2" w:rsidP="00C3245E">
            <w:pPr>
              <w:rPr>
                <w:sz w:val="22"/>
                <w:szCs w:val="22"/>
              </w:rPr>
            </w:pPr>
            <w:r w:rsidRPr="000A5F16">
              <w:rPr>
                <w:sz w:val="22"/>
                <w:szCs w:val="22"/>
              </w:rPr>
              <w:t>$23,479,287</w:t>
            </w:r>
          </w:p>
        </w:tc>
        <w:tc>
          <w:tcPr>
            <w:tcW w:w="1470" w:type="dxa"/>
            <w:vAlign w:val="bottom"/>
          </w:tcPr>
          <w:p w14:paraId="0A8D43B5" w14:textId="77777777" w:rsidR="002831F2" w:rsidRPr="000A5F16" w:rsidRDefault="002831F2" w:rsidP="00C3245E">
            <w:pPr>
              <w:rPr>
                <w:sz w:val="22"/>
                <w:szCs w:val="22"/>
              </w:rPr>
            </w:pPr>
            <w:r w:rsidRPr="000A5F16">
              <w:rPr>
                <w:sz w:val="22"/>
                <w:szCs w:val="22"/>
              </w:rPr>
              <w:t>13.3%</w:t>
            </w:r>
          </w:p>
        </w:tc>
      </w:tr>
    </w:tbl>
    <w:p w14:paraId="73DDD87B" w14:textId="77777777" w:rsidR="002831F2" w:rsidRDefault="002831F2" w:rsidP="002831F2">
      <w:pPr>
        <w:spacing w:before="120" w:after="120" w:line="276" w:lineRule="auto"/>
        <w:jc w:val="both"/>
      </w:pPr>
      <w:r>
        <w:t>Based on this data the Dunedin City share of diesel and petrol is estimated to be 70.4%. The annual petrol and diesel supplies for Dunedin City and the Otago region respectively are:</w:t>
      </w:r>
    </w:p>
    <w:tbl>
      <w:tblPr>
        <w:tblStyle w:val="TableGrid"/>
        <w:tblW w:w="0" w:type="auto"/>
        <w:jc w:val="center"/>
        <w:tblLook w:val="04A0" w:firstRow="1" w:lastRow="0" w:firstColumn="1" w:lastColumn="0" w:noHBand="0" w:noVBand="1"/>
      </w:tblPr>
      <w:tblGrid>
        <w:gridCol w:w="2516"/>
        <w:gridCol w:w="2576"/>
        <w:gridCol w:w="2602"/>
      </w:tblGrid>
      <w:tr w:rsidR="002831F2" w:rsidRPr="000A5F16" w14:paraId="127B6E0C" w14:textId="77777777" w:rsidTr="00C3245E">
        <w:trPr>
          <w:jc w:val="center"/>
        </w:trPr>
        <w:tc>
          <w:tcPr>
            <w:tcW w:w="2516" w:type="dxa"/>
          </w:tcPr>
          <w:p w14:paraId="20C6D475" w14:textId="77777777" w:rsidR="002831F2" w:rsidRPr="000A5F16" w:rsidRDefault="002831F2" w:rsidP="00C3245E">
            <w:pPr>
              <w:rPr>
                <w:b/>
                <w:bCs/>
                <w:sz w:val="22"/>
                <w:szCs w:val="22"/>
              </w:rPr>
            </w:pPr>
            <w:r w:rsidRPr="000A5F16">
              <w:rPr>
                <w:b/>
                <w:bCs/>
                <w:sz w:val="22"/>
                <w:szCs w:val="22"/>
              </w:rPr>
              <w:t>Territorial Authority</w:t>
            </w:r>
          </w:p>
        </w:tc>
        <w:tc>
          <w:tcPr>
            <w:tcW w:w="2576" w:type="dxa"/>
          </w:tcPr>
          <w:p w14:paraId="06D14408" w14:textId="77777777" w:rsidR="002831F2" w:rsidRPr="000A5F16" w:rsidRDefault="002831F2" w:rsidP="00C3245E">
            <w:pPr>
              <w:rPr>
                <w:b/>
                <w:bCs/>
                <w:sz w:val="22"/>
                <w:szCs w:val="22"/>
              </w:rPr>
            </w:pPr>
            <w:r w:rsidRPr="000A5F16">
              <w:rPr>
                <w:b/>
                <w:bCs/>
                <w:sz w:val="22"/>
                <w:szCs w:val="22"/>
              </w:rPr>
              <w:t>Petrol received (litres)</w:t>
            </w:r>
          </w:p>
        </w:tc>
        <w:tc>
          <w:tcPr>
            <w:tcW w:w="2602" w:type="dxa"/>
          </w:tcPr>
          <w:p w14:paraId="252B8AE0" w14:textId="77777777" w:rsidR="002831F2" w:rsidRPr="000A5F16" w:rsidRDefault="002831F2" w:rsidP="00C3245E">
            <w:pPr>
              <w:rPr>
                <w:b/>
                <w:bCs/>
                <w:sz w:val="22"/>
                <w:szCs w:val="22"/>
              </w:rPr>
            </w:pPr>
            <w:r w:rsidRPr="000A5F16">
              <w:rPr>
                <w:b/>
                <w:bCs/>
                <w:sz w:val="22"/>
                <w:szCs w:val="22"/>
              </w:rPr>
              <w:t>Diesel received (litres)</w:t>
            </w:r>
          </w:p>
        </w:tc>
      </w:tr>
      <w:tr w:rsidR="002831F2" w:rsidRPr="000A5F16" w14:paraId="1205C01A" w14:textId="77777777" w:rsidTr="00C3245E">
        <w:trPr>
          <w:jc w:val="center"/>
        </w:trPr>
        <w:tc>
          <w:tcPr>
            <w:tcW w:w="2516" w:type="dxa"/>
            <w:vAlign w:val="bottom"/>
          </w:tcPr>
          <w:p w14:paraId="24397E74" w14:textId="77777777" w:rsidR="002831F2" w:rsidRPr="000A5F16" w:rsidRDefault="002831F2" w:rsidP="00C3245E">
            <w:pPr>
              <w:rPr>
                <w:sz w:val="22"/>
                <w:szCs w:val="22"/>
              </w:rPr>
            </w:pPr>
            <w:r w:rsidRPr="000A5F16">
              <w:rPr>
                <w:sz w:val="22"/>
                <w:szCs w:val="22"/>
              </w:rPr>
              <w:t>Dunedin City (70.4%)</w:t>
            </w:r>
          </w:p>
        </w:tc>
        <w:tc>
          <w:tcPr>
            <w:tcW w:w="2576" w:type="dxa"/>
            <w:vAlign w:val="bottom"/>
          </w:tcPr>
          <w:p w14:paraId="4CB4F58B" w14:textId="77777777" w:rsidR="002831F2" w:rsidRPr="000A5F16" w:rsidRDefault="002831F2" w:rsidP="00C3245E">
            <w:pPr>
              <w:rPr>
                <w:sz w:val="22"/>
                <w:szCs w:val="22"/>
              </w:rPr>
            </w:pPr>
            <w:r w:rsidRPr="000A5F16">
              <w:rPr>
                <w:sz w:val="22"/>
                <w:szCs w:val="22"/>
              </w:rPr>
              <w:t>76,796,746</w:t>
            </w:r>
          </w:p>
        </w:tc>
        <w:tc>
          <w:tcPr>
            <w:tcW w:w="2602" w:type="dxa"/>
            <w:vAlign w:val="bottom"/>
          </w:tcPr>
          <w:p w14:paraId="553CA153" w14:textId="77777777" w:rsidR="002831F2" w:rsidRPr="000A5F16" w:rsidRDefault="002831F2" w:rsidP="00C3245E">
            <w:pPr>
              <w:rPr>
                <w:sz w:val="22"/>
                <w:szCs w:val="22"/>
              </w:rPr>
            </w:pPr>
            <w:r w:rsidRPr="000A5F16">
              <w:rPr>
                <w:sz w:val="22"/>
                <w:szCs w:val="22"/>
              </w:rPr>
              <w:t>126,792,354</w:t>
            </w:r>
          </w:p>
        </w:tc>
      </w:tr>
      <w:tr w:rsidR="002831F2" w:rsidRPr="000A5F16" w14:paraId="770E9B9E" w14:textId="77777777" w:rsidTr="00C3245E">
        <w:trPr>
          <w:jc w:val="center"/>
        </w:trPr>
        <w:tc>
          <w:tcPr>
            <w:tcW w:w="2516" w:type="dxa"/>
            <w:vAlign w:val="bottom"/>
          </w:tcPr>
          <w:p w14:paraId="01A75BD9" w14:textId="77777777" w:rsidR="002831F2" w:rsidRPr="000A5F16" w:rsidRDefault="002831F2" w:rsidP="00C3245E">
            <w:pPr>
              <w:rPr>
                <w:sz w:val="22"/>
                <w:szCs w:val="22"/>
              </w:rPr>
            </w:pPr>
            <w:r w:rsidRPr="000A5F16">
              <w:rPr>
                <w:sz w:val="22"/>
                <w:szCs w:val="22"/>
              </w:rPr>
              <w:t>Otago Region</w:t>
            </w:r>
          </w:p>
        </w:tc>
        <w:tc>
          <w:tcPr>
            <w:tcW w:w="2576" w:type="dxa"/>
            <w:vAlign w:val="bottom"/>
          </w:tcPr>
          <w:p w14:paraId="0C7B425E" w14:textId="77777777" w:rsidR="002831F2" w:rsidRPr="000A5F16" w:rsidRDefault="002831F2" w:rsidP="00C3245E">
            <w:pPr>
              <w:rPr>
                <w:sz w:val="22"/>
                <w:szCs w:val="22"/>
              </w:rPr>
            </w:pPr>
            <w:r w:rsidRPr="000A5F16">
              <w:rPr>
                <w:sz w:val="22"/>
                <w:szCs w:val="22"/>
              </w:rPr>
              <w:t>109,086,288</w:t>
            </w:r>
          </w:p>
        </w:tc>
        <w:tc>
          <w:tcPr>
            <w:tcW w:w="2602" w:type="dxa"/>
            <w:vAlign w:val="bottom"/>
          </w:tcPr>
          <w:p w14:paraId="6FADBBE8" w14:textId="77777777" w:rsidR="002831F2" w:rsidRPr="000A5F16" w:rsidRDefault="002831F2" w:rsidP="00C3245E">
            <w:pPr>
              <w:rPr>
                <w:sz w:val="22"/>
                <w:szCs w:val="22"/>
              </w:rPr>
            </w:pPr>
            <w:r w:rsidRPr="000A5F16">
              <w:rPr>
                <w:sz w:val="22"/>
                <w:szCs w:val="22"/>
              </w:rPr>
              <w:t xml:space="preserve">180,102,776 </w:t>
            </w:r>
          </w:p>
        </w:tc>
      </w:tr>
    </w:tbl>
    <w:p w14:paraId="0674E706" w14:textId="77777777" w:rsidR="002831F2" w:rsidRDefault="002831F2" w:rsidP="002831F2">
      <w:pPr>
        <w:spacing w:before="120" w:after="120" w:line="276" w:lineRule="auto"/>
      </w:pPr>
      <w:r>
        <w:t>Using the following emission factors</w:t>
      </w:r>
      <w:r>
        <w:rPr>
          <w:rStyle w:val="FootnoteReference"/>
        </w:rPr>
        <w:footnoteReference w:id="4"/>
      </w:r>
      <w:r w:rsidRPr="005E275D">
        <w:rPr>
          <w:color w:val="000000" w:themeColor="text1"/>
        </w:rPr>
        <w:t>:</w:t>
      </w:r>
    </w:p>
    <w:p w14:paraId="4DCF96F0" w14:textId="77777777" w:rsidR="002831F2" w:rsidRDefault="002831F2" w:rsidP="002831F2">
      <w:pPr>
        <w:spacing w:before="120"/>
        <w:ind w:left="357"/>
        <w:jc w:val="center"/>
      </w:pPr>
      <w:r w:rsidRPr="00C12343">
        <w:t>Petrol (litre</w:t>
      </w:r>
      <w:r w:rsidRPr="007B6CF0">
        <w:t>): 2.45</w:t>
      </w:r>
      <w:r>
        <w:t xml:space="preserve"> </w:t>
      </w:r>
      <w:r w:rsidRPr="00C12343">
        <w:t>kg CO</w:t>
      </w:r>
      <w:r w:rsidRPr="007B6CF0">
        <w:rPr>
          <w:vertAlign w:val="subscript"/>
        </w:rPr>
        <w:t>2</w:t>
      </w:r>
      <w:r w:rsidRPr="00C12343">
        <w:t>-e</w:t>
      </w:r>
    </w:p>
    <w:p w14:paraId="2FDE5326" w14:textId="77777777" w:rsidR="002831F2" w:rsidRPr="00C12343" w:rsidRDefault="002831F2" w:rsidP="002831F2">
      <w:pPr>
        <w:spacing w:before="120"/>
        <w:ind w:left="357"/>
        <w:jc w:val="center"/>
      </w:pPr>
      <w:r w:rsidRPr="00C12343">
        <w:t>Diesel (</w:t>
      </w:r>
      <w:r w:rsidRPr="007B6CF0">
        <w:t>litre): 2.69</w:t>
      </w:r>
      <w:r>
        <w:t xml:space="preserve"> </w:t>
      </w:r>
      <w:r w:rsidRPr="00C12343">
        <w:t>kg CO</w:t>
      </w:r>
      <w:r w:rsidRPr="007B6CF0">
        <w:rPr>
          <w:vertAlign w:val="subscript"/>
        </w:rPr>
        <w:t>2</w:t>
      </w:r>
      <w:r w:rsidRPr="00C12343">
        <w:t>-e</w:t>
      </w:r>
    </w:p>
    <w:p w14:paraId="7F28AA19" w14:textId="77777777" w:rsidR="002831F2" w:rsidRDefault="002831F2" w:rsidP="002831F2">
      <w:pPr>
        <w:spacing w:before="120" w:after="120" w:line="276" w:lineRule="auto"/>
        <w:jc w:val="both"/>
      </w:pPr>
      <w:r>
        <w:t xml:space="preserve">Diesel and Petrol consumption in the 2018/2019 financial year caused an estimated 529,224,000 kg </w:t>
      </w:r>
      <w:r w:rsidRPr="00C12343">
        <w:t>CO</w:t>
      </w:r>
      <w:r w:rsidRPr="007B6CF0">
        <w:rPr>
          <w:vertAlign w:val="subscript"/>
        </w:rPr>
        <w:t>2</w:t>
      </w:r>
      <w:r w:rsidRPr="00C12343">
        <w:t>-e</w:t>
      </w:r>
      <w:r>
        <w:t xml:space="preserve"> in Dunedin City.</w:t>
      </w:r>
    </w:p>
    <w:p w14:paraId="5612845B" w14:textId="77777777" w:rsidR="002831F2" w:rsidRDefault="002831F2" w:rsidP="002831F2">
      <w:r>
        <w:br w:type="page"/>
      </w:r>
    </w:p>
    <w:p w14:paraId="1F6C79E4" w14:textId="77777777" w:rsidR="002831F2" w:rsidRPr="008B5C0A" w:rsidRDefault="002831F2" w:rsidP="002831F2">
      <w:pPr>
        <w:spacing w:before="120" w:after="120" w:line="276" w:lineRule="auto"/>
        <w:jc w:val="both"/>
        <w:rPr>
          <w:u w:val="single"/>
        </w:rPr>
      </w:pPr>
      <w:r w:rsidRPr="008B5C0A">
        <w:rPr>
          <w:u w:val="single"/>
        </w:rPr>
        <w:lastRenderedPageBreak/>
        <w:t>AECOM Methodology</w:t>
      </w:r>
    </w:p>
    <w:p w14:paraId="1F8CE9B6" w14:textId="77777777" w:rsidR="002831F2" w:rsidRDefault="002831F2" w:rsidP="002831F2">
      <w:pPr>
        <w:spacing w:before="120" w:after="120" w:line="276" w:lineRule="auto"/>
        <w:jc w:val="both"/>
      </w:pPr>
      <w:r>
        <w:t>This methodology uses Vehicle Kilometres Travelled (VKT) as the basis for estimation.</w:t>
      </w:r>
    </w:p>
    <w:p w14:paraId="7BEEA256" w14:textId="77777777" w:rsidR="002831F2" w:rsidRPr="00971249" w:rsidRDefault="002831F2" w:rsidP="002831F2">
      <w:pPr>
        <w:spacing w:before="120" w:after="120" w:line="276" w:lineRule="auto"/>
        <w:jc w:val="both"/>
        <w:rPr>
          <w:color w:val="0563C1"/>
          <w:u w:val="single"/>
        </w:rPr>
      </w:pPr>
      <w:r>
        <w:t xml:space="preserve">The VKT method incorporates two data sets. The first data set is provided by the Dunedin City Council (DCC) and contains information on petrol and diesel sales for the Otago region (i.e. Waitaki District, Clutha District, and Dunedin City) by financial </w:t>
      </w:r>
      <w:r w:rsidRPr="005E275D">
        <w:t>year. This data was received on the 1</w:t>
      </w:r>
      <w:r w:rsidRPr="005E275D">
        <w:rPr>
          <w:vertAlign w:val="superscript"/>
        </w:rPr>
        <w:t>st</w:t>
      </w:r>
      <w:r w:rsidRPr="005E275D">
        <w:t xml:space="preserve"> of July 2021, provided by Pete Hebden (DCC Facilities) </w:t>
      </w:r>
      <w:hyperlink r:id="rId8" w:history="1">
        <w:r w:rsidRPr="00971249">
          <w:rPr>
            <w:color w:val="0563C1"/>
            <w:u w:val="single"/>
          </w:rPr>
          <w:t>pete.hebden@dcc.govt.nz</w:t>
        </w:r>
      </w:hyperlink>
      <w:r w:rsidRPr="00971249">
        <w:rPr>
          <w:color w:val="0563C1"/>
          <w:u w:val="single"/>
        </w:rPr>
        <w:t>.</w:t>
      </w:r>
    </w:p>
    <w:p w14:paraId="0CD6B86E" w14:textId="77777777" w:rsidR="002831F2" w:rsidRPr="005E275D" w:rsidRDefault="002831F2" w:rsidP="002831F2">
      <w:pPr>
        <w:spacing w:before="120" w:after="120" w:line="276" w:lineRule="auto"/>
        <w:jc w:val="both"/>
      </w:pPr>
      <w:r w:rsidRPr="005E275D">
        <w:t xml:space="preserve">The second data set is provided by the New Zealand Transport Agency. This second data set includes information on VKT for both State Highways and Local Roads by territorial authority and financial year. Data was provided by Ernest Zheng (NZTA) </w:t>
      </w:r>
      <w:hyperlink r:id="rId9" w:history="1">
        <w:r w:rsidRPr="00971249">
          <w:rPr>
            <w:color w:val="0563C1"/>
            <w:u w:val="single"/>
          </w:rPr>
          <w:t>ernest.zheng@nzta.govt.nz</w:t>
        </w:r>
      </w:hyperlink>
      <w:r w:rsidRPr="005E275D">
        <w:t xml:space="preserve"> on the 16</w:t>
      </w:r>
      <w:r w:rsidRPr="005E275D">
        <w:rPr>
          <w:vertAlign w:val="superscript"/>
        </w:rPr>
        <w:t>th</w:t>
      </w:r>
      <w:r w:rsidRPr="005E275D">
        <w:t xml:space="preserve"> August 2021.</w:t>
      </w:r>
    </w:p>
    <w:p w14:paraId="246DF8C1" w14:textId="77777777" w:rsidR="002831F2" w:rsidRDefault="002831F2" w:rsidP="002831F2">
      <w:pPr>
        <w:spacing w:before="120" w:after="120" w:line="276" w:lineRule="auto"/>
        <w:jc w:val="both"/>
      </w:pPr>
      <w:r>
        <w:t>In a first step, petrol and diesel sales from the DCC data set are extracted for the financial year 2018/2019 ending on the 30</w:t>
      </w:r>
      <w:r w:rsidRPr="007B6CF0">
        <w:rPr>
          <w:vertAlign w:val="superscript"/>
        </w:rPr>
        <w:t>th</w:t>
      </w:r>
      <w:r>
        <w:t xml:space="preserve"> of June 2019. This is as follows:</w:t>
      </w:r>
    </w:p>
    <w:p w14:paraId="29ECBEB5" w14:textId="77777777" w:rsidR="002831F2" w:rsidRPr="007B6CF0" w:rsidRDefault="002831F2" w:rsidP="002831F2">
      <w:pPr>
        <w:spacing w:line="276" w:lineRule="auto"/>
        <w:jc w:val="center"/>
      </w:pPr>
      <w:r w:rsidRPr="00B276B4">
        <w:t xml:space="preserve">Petrol use 2018/2019: </w:t>
      </w:r>
      <w:r w:rsidRPr="007B6CF0">
        <w:rPr>
          <w:u w:val="single"/>
        </w:rPr>
        <w:t>109,086,288 Litres</w:t>
      </w:r>
    </w:p>
    <w:p w14:paraId="7A5D013D" w14:textId="77777777" w:rsidR="002831F2" w:rsidRDefault="002831F2" w:rsidP="002831F2">
      <w:pPr>
        <w:spacing w:before="120" w:after="120" w:line="276" w:lineRule="auto"/>
        <w:jc w:val="center"/>
      </w:pPr>
      <w:r w:rsidRPr="00B276B4">
        <w:t xml:space="preserve">Diesel use 2018/2019: </w:t>
      </w:r>
      <w:r w:rsidRPr="007B6CF0">
        <w:rPr>
          <w:u w:val="single"/>
        </w:rPr>
        <w:t>180,102,776 Litres</w:t>
      </w:r>
    </w:p>
    <w:p w14:paraId="5D05790B" w14:textId="77777777" w:rsidR="002831F2" w:rsidRDefault="002831F2" w:rsidP="002831F2">
      <w:pPr>
        <w:spacing w:before="120" w:after="120" w:line="276" w:lineRule="auto"/>
        <w:jc w:val="both"/>
      </w:pPr>
      <w:r>
        <w:t>It is worth mentioning that this is for the Otago region consisting of the Waitaki and Clutha District as well as Dunedin City. The next step aims to estimate the share of petrol and diesel use pertinent to Dunedin City using the VKT data.</w:t>
      </w:r>
    </w:p>
    <w:p w14:paraId="36018CD0" w14:textId="331BC621" w:rsidR="002831F2" w:rsidRDefault="002831F2" w:rsidP="002831F2">
      <w:pPr>
        <w:spacing w:before="120" w:after="120" w:line="276" w:lineRule="auto"/>
        <w:jc w:val="both"/>
      </w:pPr>
      <w:r>
        <w:t>In the NZTA data set we find information on VKT for State Highways and Local Roads for each of the territorial authorities making up the Otago region</w:t>
      </w:r>
      <w:r w:rsidR="00035617">
        <w:rPr>
          <w:rStyle w:val="FootnoteReference"/>
        </w:rPr>
        <w:footnoteReference w:id="5"/>
      </w:r>
      <w:r>
        <w:t>. For the 2018/2019 year this is as follows:</w:t>
      </w:r>
    </w:p>
    <w:tbl>
      <w:tblPr>
        <w:tblStyle w:val="TableGrid"/>
        <w:tblW w:w="0" w:type="auto"/>
        <w:tblLook w:val="04A0" w:firstRow="1" w:lastRow="0" w:firstColumn="1" w:lastColumn="0" w:noHBand="0" w:noVBand="1"/>
      </w:tblPr>
      <w:tblGrid>
        <w:gridCol w:w="2405"/>
        <w:gridCol w:w="3402"/>
        <w:gridCol w:w="3203"/>
      </w:tblGrid>
      <w:tr w:rsidR="002831F2" w:rsidRPr="000A5F16" w14:paraId="2C56E15D" w14:textId="77777777" w:rsidTr="00C3245E">
        <w:tc>
          <w:tcPr>
            <w:tcW w:w="2405" w:type="dxa"/>
          </w:tcPr>
          <w:p w14:paraId="7483DE07" w14:textId="77777777" w:rsidR="002831F2" w:rsidRPr="000A5F16" w:rsidRDefault="002831F2" w:rsidP="00C3245E">
            <w:pPr>
              <w:rPr>
                <w:b/>
                <w:bCs/>
                <w:sz w:val="22"/>
                <w:szCs w:val="22"/>
              </w:rPr>
            </w:pPr>
            <w:r w:rsidRPr="000A5F16">
              <w:rPr>
                <w:b/>
                <w:bCs/>
                <w:sz w:val="22"/>
                <w:szCs w:val="22"/>
              </w:rPr>
              <w:t>Territorial Authority</w:t>
            </w:r>
          </w:p>
        </w:tc>
        <w:tc>
          <w:tcPr>
            <w:tcW w:w="3402" w:type="dxa"/>
          </w:tcPr>
          <w:p w14:paraId="01E9A3EA" w14:textId="77777777" w:rsidR="002831F2" w:rsidRPr="000A5F16" w:rsidRDefault="002831F2" w:rsidP="00C3245E">
            <w:pPr>
              <w:rPr>
                <w:b/>
                <w:bCs/>
                <w:sz w:val="22"/>
                <w:szCs w:val="22"/>
              </w:rPr>
            </w:pPr>
            <w:r w:rsidRPr="000A5F16">
              <w:rPr>
                <w:b/>
                <w:bCs/>
                <w:sz w:val="22"/>
                <w:szCs w:val="22"/>
              </w:rPr>
              <w:t>State Highway VKT 2018/2019</w:t>
            </w:r>
          </w:p>
        </w:tc>
        <w:tc>
          <w:tcPr>
            <w:tcW w:w="3203" w:type="dxa"/>
          </w:tcPr>
          <w:p w14:paraId="7B41F4BD" w14:textId="77777777" w:rsidR="002831F2" w:rsidRPr="000A5F16" w:rsidRDefault="002831F2" w:rsidP="00C3245E">
            <w:pPr>
              <w:rPr>
                <w:b/>
                <w:bCs/>
                <w:sz w:val="22"/>
                <w:szCs w:val="22"/>
              </w:rPr>
            </w:pPr>
            <w:r w:rsidRPr="000A5F16">
              <w:rPr>
                <w:b/>
                <w:bCs/>
                <w:sz w:val="22"/>
                <w:szCs w:val="22"/>
              </w:rPr>
              <w:t>Local Roads VKT 2018/2019</w:t>
            </w:r>
          </w:p>
        </w:tc>
      </w:tr>
      <w:tr w:rsidR="002831F2" w:rsidRPr="000A5F16" w14:paraId="5C45CFAC" w14:textId="77777777" w:rsidTr="00C3245E">
        <w:tc>
          <w:tcPr>
            <w:tcW w:w="2405" w:type="dxa"/>
          </w:tcPr>
          <w:p w14:paraId="1C106A27" w14:textId="77777777" w:rsidR="002831F2" w:rsidRPr="000A5F16" w:rsidRDefault="002831F2" w:rsidP="00C3245E">
            <w:pPr>
              <w:rPr>
                <w:sz w:val="22"/>
                <w:szCs w:val="22"/>
              </w:rPr>
            </w:pPr>
            <w:r w:rsidRPr="000A5F16">
              <w:rPr>
                <w:sz w:val="22"/>
                <w:szCs w:val="22"/>
              </w:rPr>
              <w:t>Dunedin City</w:t>
            </w:r>
          </w:p>
        </w:tc>
        <w:tc>
          <w:tcPr>
            <w:tcW w:w="3402" w:type="dxa"/>
          </w:tcPr>
          <w:p w14:paraId="3CC52AF1" w14:textId="77777777" w:rsidR="002831F2" w:rsidRPr="000A5F16" w:rsidRDefault="002831F2" w:rsidP="00C3245E">
            <w:pPr>
              <w:rPr>
                <w:sz w:val="22"/>
                <w:szCs w:val="22"/>
              </w:rPr>
            </w:pPr>
            <w:r w:rsidRPr="000A5F16">
              <w:rPr>
                <w:sz w:val="22"/>
                <w:szCs w:val="22"/>
              </w:rPr>
              <w:t>439,035,229</w:t>
            </w:r>
          </w:p>
        </w:tc>
        <w:tc>
          <w:tcPr>
            <w:tcW w:w="3203" w:type="dxa"/>
          </w:tcPr>
          <w:p w14:paraId="730D320B" w14:textId="77777777" w:rsidR="002831F2" w:rsidRPr="000A5F16" w:rsidRDefault="002831F2" w:rsidP="00C3245E">
            <w:pPr>
              <w:rPr>
                <w:sz w:val="22"/>
                <w:szCs w:val="22"/>
              </w:rPr>
            </w:pPr>
            <w:r w:rsidRPr="000A5F16">
              <w:rPr>
                <w:sz w:val="22"/>
                <w:szCs w:val="22"/>
              </w:rPr>
              <w:t xml:space="preserve">467,370,000 </w:t>
            </w:r>
          </w:p>
        </w:tc>
      </w:tr>
      <w:tr w:rsidR="002831F2" w:rsidRPr="000A5F16" w14:paraId="4597A97E" w14:textId="77777777" w:rsidTr="00C3245E">
        <w:tc>
          <w:tcPr>
            <w:tcW w:w="2405" w:type="dxa"/>
          </w:tcPr>
          <w:p w14:paraId="7D3CE71A" w14:textId="77777777" w:rsidR="002831F2" w:rsidRPr="000A5F16" w:rsidRDefault="002831F2" w:rsidP="00C3245E">
            <w:pPr>
              <w:rPr>
                <w:sz w:val="22"/>
                <w:szCs w:val="22"/>
              </w:rPr>
            </w:pPr>
            <w:r w:rsidRPr="000A5F16">
              <w:rPr>
                <w:sz w:val="22"/>
                <w:szCs w:val="22"/>
              </w:rPr>
              <w:t>Waitaki District</w:t>
            </w:r>
          </w:p>
        </w:tc>
        <w:tc>
          <w:tcPr>
            <w:tcW w:w="3402" w:type="dxa"/>
          </w:tcPr>
          <w:p w14:paraId="247AC6AF" w14:textId="77777777" w:rsidR="002831F2" w:rsidRPr="000A5F16" w:rsidRDefault="002831F2" w:rsidP="00C3245E">
            <w:pPr>
              <w:rPr>
                <w:sz w:val="22"/>
                <w:szCs w:val="22"/>
              </w:rPr>
            </w:pPr>
            <w:r w:rsidRPr="000A5F16">
              <w:rPr>
                <w:sz w:val="22"/>
                <w:szCs w:val="22"/>
              </w:rPr>
              <w:t>305,885,371</w:t>
            </w:r>
          </w:p>
        </w:tc>
        <w:tc>
          <w:tcPr>
            <w:tcW w:w="3203" w:type="dxa"/>
          </w:tcPr>
          <w:p w14:paraId="1524F354" w14:textId="77777777" w:rsidR="002831F2" w:rsidRPr="000A5F16" w:rsidRDefault="002831F2" w:rsidP="00C3245E">
            <w:pPr>
              <w:rPr>
                <w:sz w:val="22"/>
                <w:szCs w:val="22"/>
              </w:rPr>
            </w:pPr>
            <w:r w:rsidRPr="000A5F16">
              <w:rPr>
                <w:sz w:val="22"/>
                <w:szCs w:val="22"/>
              </w:rPr>
              <w:t>110,680,000</w:t>
            </w:r>
          </w:p>
        </w:tc>
      </w:tr>
      <w:tr w:rsidR="002831F2" w:rsidRPr="000A5F16" w14:paraId="529AF9BA" w14:textId="77777777" w:rsidTr="00C3245E">
        <w:tc>
          <w:tcPr>
            <w:tcW w:w="2405" w:type="dxa"/>
          </w:tcPr>
          <w:p w14:paraId="664E27A7" w14:textId="77777777" w:rsidR="002831F2" w:rsidRPr="000A5F16" w:rsidRDefault="002831F2" w:rsidP="00C3245E">
            <w:pPr>
              <w:rPr>
                <w:sz w:val="22"/>
                <w:szCs w:val="22"/>
              </w:rPr>
            </w:pPr>
            <w:r w:rsidRPr="000A5F16">
              <w:rPr>
                <w:sz w:val="22"/>
                <w:szCs w:val="22"/>
              </w:rPr>
              <w:t>Clutha District</w:t>
            </w:r>
          </w:p>
        </w:tc>
        <w:tc>
          <w:tcPr>
            <w:tcW w:w="3402" w:type="dxa"/>
          </w:tcPr>
          <w:p w14:paraId="5F542C8C" w14:textId="77777777" w:rsidR="002831F2" w:rsidRPr="000A5F16" w:rsidRDefault="002831F2" w:rsidP="00C3245E">
            <w:pPr>
              <w:rPr>
                <w:sz w:val="22"/>
                <w:szCs w:val="22"/>
              </w:rPr>
            </w:pPr>
            <w:r w:rsidRPr="000A5F16">
              <w:rPr>
                <w:sz w:val="22"/>
                <w:szCs w:val="22"/>
              </w:rPr>
              <w:t xml:space="preserve">234,579,806 </w:t>
            </w:r>
          </w:p>
        </w:tc>
        <w:tc>
          <w:tcPr>
            <w:tcW w:w="3203" w:type="dxa"/>
          </w:tcPr>
          <w:p w14:paraId="3B3DF2DE" w14:textId="77777777" w:rsidR="002831F2" w:rsidRPr="000A5F16" w:rsidRDefault="002831F2" w:rsidP="00C3245E">
            <w:pPr>
              <w:rPr>
                <w:sz w:val="22"/>
                <w:szCs w:val="22"/>
              </w:rPr>
            </w:pPr>
            <w:r w:rsidRPr="000A5F16">
              <w:rPr>
                <w:sz w:val="22"/>
                <w:szCs w:val="22"/>
              </w:rPr>
              <w:t>113,330,000</w:t>
            </w:r>
          </w:p>
        </w:tc>
      </w:tr>
    </w:tbl>
    <w:p w14:paraId="1E6B2E90" w14:textId="77777777" w:rsidR="002831F2" w:rsidRDefault="002831F2" w:rsidP="002831F2"/>
    <w:p w14:paraId="10E60390" w14:textId="77777777" w:rsidR="002831F2" w:rsidRDefault="002831F2" w:rsidP="002831F2">
      <w:pPr>
        <w:spacing w:before="120" w:after="120" w:line="276" w:lineRule="auto"/>
        <w:jc w:val="both"/>
      </w:pPr>
      <w:r>
        <w:t xml:space="preserve">The sum of both State Highway and Local Road VKT gives us the total VKT in the Otago region in the 2018/2019 financial year. This is </w:t>
      </w:r>
      <w:r w:rsidRPr="007B6CF0">
        <w:t>1,670,880,406</w:t>
      </w:r>
      <w:r>
        <w:t xml:space="preserve"> kilometres travelled. Now we can calculate the VKT share for Dunedin City. This is the sum of State Highway and Local Road VKT for Dunedin City divided by the total VKT in the Otago region. For the 2018/2019 year the Dunedin City share of VKT is 54.25%. This matches with AECOM results.</w:t>
      </w:r>
    </w:p>
    <w:p w14:paraId="63235618" w14:textId="77777777" w:rsidR="002831F2" w:rsidRDefault="002831F2" w:rsidP="002831F2">
      <w:pPr>
        <w:spacing w:before="120" w:after="120"/>
        <w:jc w:val="center"/>
      </w:pPr>
      <w:r>
        <w:t>(</w:t>
      </w:r>
      <w:r w:rsidRPr="007B6CF0">
        <w:t>439,035,229 + 467,370,000) / 1,670,880,406 = 54.25%</w:t>
      </w:r>
    </w:p>
    <w:p w14:paraId="5DAACC0E" w14:textId="77777777" w:rsidR="002831F2" w:rsidRDefault="002831F2" w:rsidP="002831F2">
      <w:r>
        <w:br w:type="page"/>
      </w:r>
    </w:p>
    <w:p w14:paraId="7C632028" w14:textId="77777777" w:rsidR="002831F2" w:rsidRDefault="002831F2" w:rsidP="002831F2">
      <w:pPr>
        <w:spacing w:before="120" w:after="120"/>
        <w:jc w:val="both"/>
      </w:pPr>
      <w:r>
        <w:lastRenderedPageBreak/>
        <w:t xml:space="preserve">The share of 54.25% linked to Dunedin City is now applied on the petrol and diesel use of the 2018/2019 financial year. This is: </w:t>
      </w:r>
    </w:p>
    <w:p w14:paraId="01D58E07" w14:textId="77777777" w:rsidR="002831F2" w:rsidRDefault="002831F2" w:rsidP="002831F2">
      <w:pPr>
        <w:jc w:val="center"/>
      </w:pPr>
      <w:r>
        <w:t xml:space="preserve">Petrol: </w:t>
      </w:r>
      <w:r w:rsidRPr="00B276B4">
        <w:t xml:space="preserve">109,086,288 Litres * 0.5425 = </w:t>
      </w:r>
      <w:r w:rsidRPr="007B6CF0">
        <w:t>59,179,311 Litres</w:t>
      </w:r>
    </w:p>
    <w:p w14:paraId="78B660CE" w14:textId="77777777" w:rsidR="002831F2" w:rsidRDefault="002831F2" w:rsidP="002831F2">
      <w:pPr>
        <w:spacing w:before="120" w:after="120" w:line="276" w:lineRule="auto"/>
        <w:jc w:val="center"/>
      </w:pPr>
      <w:r>
        <w:t xml:space="preserve">Diesel: </w:t>
      </w:r>
      <w:r w:rsidRPr="00B276B4">
        <w:t xml:space="preserve">180,102,776 Litres * 0.5425 = </w:t>
      </w:r>
      <w:r w:rsidRPr="007B6CF0">
        <w:t>97,705,756 Litres</w:t>
      </w:r>
    </w:p>
    <w:p w14:paraId="07ACBCDF" w14:textId="77777777" w:rsidR="002831F2" w:rsidRDefault="002831F2" w:rsidP="002831F2">
      <w:r>
        <w:t>Using the following emission factors</w:t>
      </w:r>
      <w:r>
        <w:rPr>
          <w:rStyle w:val="FootnoteReference"/>
        </w:rPr>
        <w:footnoteReference w:id="6"/>
      </w:r>
    </w:p>
    <w:p w14:paraId="08D66F23" w14:textId="77777777" w:rsidR="002831F2" w:rsidRDefault="002831F2" w:rsidP="002831F2">
      <w:pPr>
        <w:spacing w:before="120"/>
        <w:ind w:left="357"/>
        <w:jc w:val="center"/>
      </w:pPr>
      <w:r w:rsidRPr="00C12343">
        <w:t>Petrol (litre</w:t>
      </w:r>
      <w:r w:rsidRPr="007B6CF0">
        <w:t>): 2.45</w:t>
      </w:r>
      <w:r>
        <w:t xml:space="preserve"> </w:t>
      </w:r>
      <w:r w:rsidRPr="00C12343">
        <w:t>kg CO</w:t>
      </w:r>
      <w:r w:rsidRPr="007B6CF0">
        <w:rPr>
          <w:vertAlign w:val="subscript"/>
        </w:rPr>
        <w:t>2</w:t>
      </w:r>
      <w:r w:rsidRPr="00C12343">
        <w:t>-e</w:t>
      </w:r>
    </w:p>
    <w:p w14:paraId="25724711" w14:textId="77777777" w:rsidR="002831F2" w:rsidRPr="00C12343" w:rsidRDefault="002831F2" w:rsidP="002831F2">
      <w:pPr>
        <w:spacing w:before="120"/>
        <w:ind w:left="357"/>
        <w:jc w:val="center"/>
      </w:pPr>
      <w:r w:rsidRPr="00C12343">
        <w:t>Diesel (</w:t>
      </w:r>
      <w:r w:rsidRPr="007B6CF0">
        <w:t>litre): 2.69</w:t>
      </w:r>
      <w:r>
        <w:t xml:space="preserve"> </w:t>
      </w:r>
      <w:r w:rsidRPr="00C12343">
        <w:t>kg CO</w:t>
      </w:r>
      <w:r w:rsidRPr="007B6CF0">
        <w:rPr>
          <w:vertAlign w:val="subscript"/>
        </w:rPr>
        <w:t>2</w:t>
      </w:r>
      <w:r w:rsidRPr="00C12343">
        <w:t>-e</w:t>
      </w:r>
    </w:p>
    <w:p w14:paraId="2C1D173E" w14:textId="77777777" w:rsidR="002831F2" w:rsidRDefault="002831F2" w:rsidP="002831F2">
      <w:pPr>
        <w:spacing w:before="240" w:after="200" w:line="276" w:lineRule="auto"/>
        <w:jc w:val="both"/>
      </w:pPr>
      <w:r>
        <w:t xml:space="preserve">the total emissions from petrol and diesel use in Dunedin City for the 2018/2019 year equate to 407,818,000 </w:t>
      </w:r>
      <w:r w:rsidRPr="00C12343">
        <w:t>kg CO</w:t>
      </w:r>
      <w:r w:rsidRPr="007B6CF0">
        <w:rPr>
          <w:vertAlign w:val="subscript"/>
        </w:rPr>
        <w:t>2</w:t>
      </w:r>
      <w:r w:rsidRPr="00C12343">
        <w:t>-e</w:t>
      </w:r>
      <w:r>
        <w:t xml:space="preserve">. </w:t>
      </w:r>
    </w:p>
    <w:p w14:paraId="7311649C" w14:textId="77777777" w:rsidR="002831F2" w:rsidRPr="005E018A" w:rsidRDefault="002831F2" w:rsidP="002831F2">
      <w:pPr>
        <w:rPr>
          <w:color w:val="000000"/>
          <w:lang w:eastAsia="en-GB"/>
        </w:rPr>
      </w:pPr>
      <w:r>
        <w:t xml:space="preserve">Some of this fuel use could be for stationary use rather than transport. From the Energy Efficiency and Conservation Authority (EECA) End Use </w:t>
      </w:r>
      <w:r w:rsidRPr="00962508">
        <w:t>data base we</w:t>
      </w:r>
      <w:r w:rsidRPr="001A46D8">
        <w:t xml:space="preserve"> estimate</w:t>
      </w:r>
      <w:r w:rsidRPr="00962508">
        <w:t xml:space="preserve"> that in the 2018/2019 year, 16% of national diesel use was for stationary use. </w:t>
      </w:r>
      <w:r w:rsidRPr="001A46D8">
        <w:t xml:space="preserve">This </w:t>
      </w:r>
      <w:r w:rsidRPr="00962508">
        <w:t>estimate was found by:</w:t>
      </w:r>
      <w:r w:rsidRPr="005E018A">
        <w:rPr>
          <w:color w:val="000000"/>
          <w:lang w:eastAsia="en-GB"/>
        </w:rPr>
        <w:br/>
        <w:t xml:space="preserve">1) Filtering by fuel type </w:t>
      </w:r>
      <w:r w:rsidRPr="005E018A">
        <w:rPr>
          <w:rFonts w:hint="eastAsia"/>
          <w:color w:val="000000"/>
          <w:lang w:eastAsia="en-GB"/>
        </w:rPr>
        <w:t>“</w:t>
      </w:r>
      <w:r w:rsidRPr="005E018A">
        <w:rPr>
          <w:color w:val="000000"/>
          <w:lang w:eastAsia="en-GB"/>
        </w:rPr>
        <w:t>Diesel</w:t>
      </w:r>
      <w:r w:rsidRPr="005E018A">
        <w:rPr>
          <w:rFonts w:hint="eastAsia"/>
          <w:color w:val="000000"/>
          <w:lang w:eastAsia="en-GB"/>
        </w:rPr>
        <w:t>”</w:t>
      </w:r>
    </w:p>
    <w:p w14:paraId="7D4DB29F" w14:textId="77777777" w:rsidR="002831F2" w:rsidRPr="005E018A" w:rsidRDefault="002831F2" w:rsidP="002831F2">
      <w:pPr>
        <w:rPr>
          <w:color w:val="000000"/>
          <w:lang w:eastAsia="en-GB"/>
        </w:rPr>
      </w:pPr>
      <w:r w:rsidRPr="005E018A">
        <w:rPr>
          <w:color w:val="000000"/>
          <w:lang w:eastAsia="en-GB"/>
        </w:rPr>
        <w:t xml:space="preserve">2) Filtering by technology group </w:t>
      </w:r>
      <w:r w:rsidRPr="005E018A">
        <w:rPr>
          <w:rFonts w:hint="eastAsia"/>
          <w:color w:val="000000"/>
          <w:lang w:eastAsia="en-GB"/>
        </w:rPr>
        <w:t>“</w:t>
      </w:r>
      <w:r w:rsidRPr="005E018A">
        <w:rPr>
          <w:color w:val="000000"/>
          <w:lang w:eastAsia="en-GB"/>
        </w:rPr>
        <w:t>Mobile Motors</w:t>
      </w:r>
      <w:r w:rsidRPr="005E018A">
        <w:rPr>
          <w:rFonts w:hint="eastAsia"/>
          <w:color w:val="000000"/>
          <w:lang w:eastAsia="en-GB"/>
        </w:rPr>
        <w:t>”</w:t>
      </w:r>
    </w:p>
    <w:p w14:paraId="28CA8B01" w14:textId="77777777" w:rsidR="002831F2" w:rsidRPr="005E018A" w:rsidRDefault="002831F2" w:rsidP="002831F2">
      <w:pPr>
        <w:rPr>
          <w:color w:val="000000"/>
          <w:lang w:eastAsia="en-GB"/>
        </w:rPr>
      </w:pPr>
      <w:r w:rsidRPr="005E018A">
        <w:rPr>
          <w:color w:val="000000"/>
          <w:lang w:eastAsia="en-GB"/>
        </w:rPr>
        <w:t>3) Summing the energy values for the period ending on the 31st of December 2018</w:t>
      </w:r>
    </w:p>
    <w:p w14:paraId="7D4367F9" w14:textId="77777777" w:rsidR="002831F2" w:rsidRPr="005E018A" w:rsidRDefault="002831F2" w:rsidP="002831F2">
      <w:pPr>
        <w:rPr>
          <w:color w:val="000000"/>
          <w:lang w:eastAsia="en-GB"/>
        </w:rPr>
      </w:pPr>
      <w:r w:rsidRPr="005E018A">
        <w:rPr>
          <w:color w:val="000000"/>
          <w:lang w:eastAsia="en-GB"/>
        </w:rPr>
        <w:t>4) Repeat</w:t>
      </w:r>
      <w:r>
        <w:rPr>
          <w:color w:val="000000"/>
          <w:lang w:eastAsia="en-GB"/>
        </w:rPr>
        <w:t>i</w:t>
      </w:r>
      <w:r w:rsidRPr="005E018A">
        <w:rPr>
          <w:color w:val="000000"/>
          <w:lang w:eastAsia="en-GB"/>
        </w:rPr>
        <w:t xml:space="preserve">ng this for </w:t>
      </w:r>
      <w:r w:rsidRPr="005E018A">
        <w:rPr>
          <w:rFonts w:hint="eastAsia"/>
          <w:color w:val="000000"/>
          <w:lang w:eastAsia="en-GB"/>
        </w:rPr>
        <w:t>“</w:t>
      </w:r>
      <w:r w:rsidRPr="005E018A">
        <w:rPr>
          <w:color w:val="000000"/>
          <w:lang w:eastAsia="en-GB"/>
        </w:rPr>
        <w:t>Stationary Motors</w:t>
      </w:r>
      <w:r w:rsidRPr="005E018A">
        <w:rPr>
          <w:rFonts w:hint="eastAsia"/>
          <w:color w:val="000000"/>
          <w:lang w:eastAsia="en-GB"/>
        </w:rPr>
        <w:t>”</w:t>
      </w:r>
      <w:r w:rsidRPr="005E018A">
        <w:rPr>
          <w:color w:val="000000"/>
          <w:lang w:eastAsia="en-GB"/>
        </w:rPr>
        <w:t xml:space="preserve">  </w:t>
      </w:r>
    </w:p>
    <w:p w14:paraId="1DF8A7A8" w14:textId="77777777" w:rsidR="002831F2" w:rsidRPr="005E018A" w:rsidRDefault="002831F2" w:rsidP="002831F2">
      <w:pPr>
        <w:rPr>
          <w:color w:val="000000"/>
          <w:lang w:eastAsia="en-GB"/>
        </w:rPr>
      </w:pPr>
      <w:r w:rsidRPr="00962508">
        <w:rPr>
          <w:lang w:eastAsia="en-GB"/>
        </w:rPr>
        <w:t xml:space="preserve">This process is then repeated for </w:t>
      </w:r>
      <w:r>
        <w:rPr>
          <w:lang w:eastAsia="en-GB"/>
        </w:rPr>
        <w:t xml:space="preserve">fuel type </w:t>
      </w:r>
      <w:r w:rsidRPr="00962508">
        <w:rPr>
          <w:lang w:eastAsia="en-GB"/>
        </w:rPr>
        <w:t>“Petrol”</w:t>
      </w:r>
    </w:p>
    <w:p w14:paraId="67449698" w14:textId="77777777" w:rsidR="002831F2" w:rsidRPr="005E018A" w:rsidRDefault="002831F2" w:rsidP="002831F2">
      <w:pPr>
        <w:rPr>
          <w:color w:val="000000"/>
          <w:lang w:eastAsia="en-GB"/>
        </w:rPr>
      </w:pPr>
      <w:r w:rsidRPr="005E018A">
        <w:rPr>
          <w:color w:val="000000"/>
          <w:lang w:eastAsia="en-GB"/>
        </w:rPr>
        <w:t xml:space="preserve">This </w:t>
      </w:r>
      <w:r>
        <w:rPr>
          <w:color w:val="000000"/>
          <w:lang w:eastAsia="en-GB"/>
        </w:rPr>
        <w:t xml:space="preserve">process </w:t>
      </w:r>
      <w:r w:rsidRPr="005E018A">
        <w:rPr>
          <w:color w:val="000000"/>
          <w:lang w:eastAsia="en-GB"/>
        </w:rPr>
        <w:t>results in</w:t>
      </w:r>
      <w:r>
        <w:rPr>
          <w:color w:val="000000"/>
          <w:lang w:eastAsia="en-GB"/>
        </w:rPr>
        <w:t>:</w:t>
      </w:r>
    </w:p>
    <w:tbl>
      <w:tblPr>
        <w:tblW w:w="5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560"/>
        <w:gridCol w:w="1758"/>
        <w:gridCol w:w="1293"/>
      </w:tblGrid>
      <w:tr w:rsidR="002831F2" w:rsidRPr="00962508" w14:paraId="7DBF4282" w14:textId="77777777" w:rsidTr="00C3245E">
        <w:trPr>
          <w:trHeight w:val="300"/>
          <w:jc w:val="center"/>
        </w:trPr>
        <w:tc>
          <w:tcPr>
            <w:tcW w:w="1129" w:type="dxa"/>
            <w:vAlign w:val="center"/>
            <w:hideMark/>
          </w:tcPr>
          <w:p w14:paraId="4D5238C2" w14:textId="77777777" w:rsidR="002831F2" w:rsidRPr="005E018A" w:rsidRDefault="002831F2" w:rsidP="00C3245E">
            <w:pPr>
              <w:rPr>
                <w:color w:val="000000"/>
                <w:lang w:eastAsia="en-GB"/>
              </w:rPr>
            </w:pPr>
          </w:p>
        </w:tc>
        <w:tc>
          <w:tcPr>
            <w:tcW w:w="1560" w:type="dxa"/>
            <w:vAlign w:val="center"/>
            <w:hideMark/>
          </w:tcPr>
          <w:p w14:paraId="665847C3" w14:textId="77777777" w:rsidR="002831F2" w:rsidRPr="00962508" w:rsidRDefault="002831F2" w:rsidP="00C3245E">
            <w:pPr>
              <w:jc w:val="center"/>
              <w:rPr>
                <w:lang w:eastAsia="en-GB"/>
              </w:rPr>
            </w:pPr>
            <w:r w:rsidRPr="00962508">
              <w:rPr>
                <w:lang w:eastAsia="en-GB"/>
              </w:rPr>
              <w:t>Stationary</w:t>
            </w:r>
            <w:r w:rsidRPr="001A46D8">
              <w:rPr>
                <w:lang w:eastAsia="en-GB"/>
              </w:rPr>
              <w:t xml:space="preserve"> </w:t>
            </w:r>
            <w:r w:rsidRPr="00962508">
              <w:rPr>
                <w:lang w:eastAsia="en-GB"/>
              </w:rPr>
              <w:t>TJ</w:t>
            </w:r>
          </w:p>
        </w:tc>
        <w:tc>
          <w:tcPr>
            <w:tcW w:w="1758" w:type="dxa"/>
            <w:vAlign w:val="center"/>
            <w:hideMark/>
          </w:tcPr>
          <w:p w14:paraId="63C5E326" w14:textId="77777777" w:rsidR="002831F2" w:rsidRPr="00962508" w:rsidRDefault="002831F2" w:rsidP="00C3245E">
            <w:pPr>
              <w:jc w:val="center"/>
              <w:rPr>
                <w:lang w:eastAsia="en-GB"/>
              </w:rPr>
            </w:pPr>
            <w:r w:rsidRPr="00962508">
              <w:rPr>
                <w:lang w:eastAsia="en-GB"/>
              </w:rPr>
              <w:t>Mobile TJ</w:t>
            </w:r>
          </w:p>
        </w:tc>
        <w:tc>
          <w:tcPr>
            <w:tcW w:w="1293" w:type="dxa"/>
            <w:vAlign w:val="center"/>
            <w:hideMark/>
          </w:tcPr>
          <w:p w14:paraId="39A80471" w14:textId="77777777" w:rsidR="002831F2" w:rsidRPr="00962508" w:rsidRDefault="002831F2" w:rsidP="00C3245E">
            <w:pPr>
              <w:rPr>
                <w:lang w:eastAsia="en-GB"/>
              </w:rPr>
            </w:pPr>
            <w:r w:rsidRPr="00962508">
              <w:rPr>
                <w:lang w:eastAsia="en-GB"/>
              </w:rPr>
              <w:t>% stationary</w:t>
            </w:r>
          </w:p>
        </w:tc>
      </w:tr>
      <w:tr w:rsidR="002831F2" w:rsidRPr="00962508" w14:paraId="3858AE45" w14:textId="77777777" w:rsidTr="00C3245E">
        <w:trPr>
          <w:trHeight w:val="300"/>
          <w:jc w:val="center"/>
        </w:trPr>
        <w:tc>
          <w:tcPr>
            <w:tcW w:w="1129" w:type="dxa"/>
            <w:vAlign w:val="center"/>
            <w:hideMark/>
          </w:tcPr>
          <w:p w14:paraId="2D675ECD" w14:textId="77777777" w:rsidR="002831F2" w:rsidRPr="001A46D8" w:rsidRDefault="002831F2" w:rsidP="00C3245E">
            <w:pPr>
              <w:rPr>
                <w:lang w:eastAsia="en-GB"/>
              </w:rPr>
            </w:pPr>
            <w:r w:rsidRPr="00962508">
              <w:rPr>
                <w:lang w:eastAsia="en-GB"/>
              </w:rPr>
              <w:t>Petrol</w:t>
            </w:r>
          </w:p>
        </w:tc>
        <w:tc>
          <w:tcPr>
            <w:tcW w:w="1560" w:type="dxa"/>
            <w:vAlign w:val="center"/>
            <w:hideMark/>
          </w:tcPr>
          <w:p w14:paraId="71ACB5C3" w14:textId="77777777" w:rsidR="002831F2" w:rsidRPr="00962508" w:rsidRDefault="002831F2" w:rsidP="00C3245E">
            <w:pPr>
              <w:jc w:val="right"/>
              <w:rPr>
                <w:lang w:eastAsia="en-GB"/>
              </w:rPr>
            </w:pPr>
            <w:r w:rsidRPr="00962508">
              <w:rPr>
                <w:lang w:eastAsia="en-GB"/>
              </w:rPr>
              <w:t>406</w:t>
            </w:r>
          </w:p>
        </w:tc>
        <w:tc>
          <w:tcPr>
            <w:tcW w:w="1758" w:type="dxa"/>
            <w:vAlign w:val="center"/>
            <w:hideMark/>
          </w:tcPr>
          <w:p w14:paraId="09C5EB23" w14:textId="77777777" w:rsidR="002831F2" w:rsidRPr="00962508" w:rsidRDefault="002831F2" w:rsidP="00C3245E">
            <w:pPr>
              <w:jc w:val="right"/>
              <w:rPr>
                <w:lang w:eastAsia="en-GB"/>
              </w:rPr>
            </w:pPr>
            <w:r w:rsidRPr="00962508">
              <w:rPr>
                <w:lang w:eastAsia="en-GB"/>
              </w:rPr>
              <w:t>   113,265</w:t>
            </w:r>
          </w:p>
        </w:tc>
        <w:tc>
          <w:tcPr>
            <w:tcW w:w="0" w:type="auto"/>
            <w:vAlign w:val="center"/>
            <w:hideMark/>
          </w:tcPr>
          <w:p w14:paraId="08DA4368" w14:textId="77777777" w:rsidR="002831F2" w:rsidRPr="00962508" w:rsidRDefault="002831F2" w:rsidP="00C3245E">
            <w:pPr>
              <w:jc w:val="right"/>
              <w:rPr>
                <w:lang w:eastAsia="en-GB"/>
              </w:rPr>
            </w:pPr>
            <w:r w:rsidRPr="00962508">
              <w:rPr>
                <w:lang w:eastAsia="en-GB"/>
              </w:rPr>
              <w:t>0%</w:t>
            </w:r>
          </w:p>
        </w:tc>
      </w:tr>
      <w:tr w:rsidR="002831F2" w:rsidRPr="00962508" w14:paraId="2EA7A99D" w14:textId="77777777" w:rsidTr="00C3245E">
        <w:trPr>
          <w:trHeight w:val="300"/>
          <w:jc w:val="center"/>
        </w:trPr>
        <w:tc>
          <w:tcPr>
            <w:tcW w:w="1129" w:type="dxa"/>
            <w:vAlign w:val="center"/>
            <w:hideMark/>
          </w:tcPr>
          <w:p w14:paraId="3D225D77" w14:textId="77777777" w:rsidR="002831F2" w:rsidRPr="001A46D8" w:rsidRDefault="002831F2" w:rsidP="00C3245E">
            <w:pPr>
              <w:rPr>
                <w:lang w:eastAsia="en-GB"/>
              </w:rPr>
            </w:pPr>
            <w:r w:rsidRPr="00962508">
              <w:rPr>
                <w:lang w:eastAsia="en-GB"/>
              </w:rPr>
              <w:t>Diesel</w:t>
            </w:r>
          </w:p>
        </w:tc>
        <w:tc>
          <w:tcPr>
            <w:tcW w:w="1560" w:type="dxa"/>
            <w:vAlign w:val="center"/>
            <w:hideMark/>
          </w:tcPr>
          <w:p w14:paraId="6A68743F" w14:textId="77777777" w:rsidR="002831F2" w:rsidRPr="00962508" w:rsidRDefault="002831F2" w:rsidP="00C3245E">
            <w:pPr>
              <w:jc w:val="right"/>
              <w:rPr>
                <w:lang w:eastAsia="en-GB"/>
              </w:rPr>
            </w:pPr>
            <w:r w:rsidRPr="00962508">
              <w:rPr>
                <w:lang w:eastAsia="en-GB"/>
              </w:rPr>
              <w:t>     26,499</w:t>
            </w:r>
          </w:p>
        </w:tc>
        <w:tc>
          <w:tcPr>
            <w:tcW w:w="1758" w:type="dxa"/>
            <w:vAlign w:val="center"/>
            <w:hideMark/>
          </w:tcPr>
          <w:p w14:paraId="444082CE" w14:textId="77777777" w:rsidR="002831F2" w:rsidRPr="00962508" w:rsidRDefault="002831F2" w:rsidP="00C3245E">
            <w:pPr>
              <w:jc w:val="right"/>
              <w:rPr>
                <w:lang w:eastAsia="en-GB"/>
              </w:rPr>
            </w:pPr>
            <w:r w:rsidRPr="00962508">
              <w:rPr>
                <w:lang w:eastAsia="en-GB"/>
              </w:rPr>
              <w:t>   138,332</w:t>
            </w:r>
          </w:p>
        </w:tc>
        <w:tc>
          <w:tcPr>
            <w:tcW w:w="0" w:type="auto"/>
            <w:vAlign w:val="center"/>
            <w:hideMark/>
          </w:tcPr>
          <w:p w14:paraId="79E70494" w14:textId="77777777" w:rsidR="002831F2" w:rsidRPr="00962508" w:rsidRDefault="002831F2" w:rsidP="00C3245E">
            <w:pPr>
              <w:jc w:val="right"/>
              <w:rPr>
                <w:lang w:eastAsia="en-GB"/>
              </w:rPr>
            </w:pPr>
            <w:r w:rsidRPr="00962508">
              <w:rPr>
                <w:lang w:eastAsia="en-GB"/>
              </w:rPr>
              <w:t>16%</w:t>
            </w:r>
          </w:p>
        </w:tc>
      </w:tr>
    </w:tbl>
    <w:p w14:paraId="7122ABA6" w14:textId="77777777" w:rsidR="002831F2" w:rsidRPr="00962508" w:rsidRDefault="002831F2" w:rsidP="002831F2">
      <w:pPr>
        <w:spacing w:before="120" w:after="120" w:line="276" w:lineRule="auto"/>
        <w:jc w:val="both"/>
      </w:pPr>
      <w:r w:rsidRPr="00962508">
        <w:t>Petrol stationary use is negligible. Assuming this p</w:t>
      </w:r>
      <w:r w:rsidRPr="001A46D8">
        <w:t>ercentage</w:t>
      </w:r>
      <w:r w:rsidRPr="00962508">
        <w:t xml:space="preserve"> also holds for Dunedin City, and deducting this stationary fuel use, emissions caused by diesel and petrol for transport equal 365,765,000 kg CO</w:t>
      </w:r>
      <w:r w:rsidRPr="00962508">
        <w:rPr>
          <w:vertAlign w:val="subscript"/>
        </w:rPr>
        <w:t>2</w:t>
      </w:r>
      <w:r w:rsidRPr="00962508">
        <w:t>-e. This compares with the reported figure from AECOM (385,702,000 kg CO</w:t>
      </w:r>
      <w:r w:rsidRPr="00962508">
        <w:rPr>
          <w:vertAlign w:val="subscript"/>
        </w:rPr>
        <w:t>2</w:t>
      </w:r>
      <w:r w:rsidRPr="00962508">
        <w:t xml:space="preserve">-e). Differences in the final number result from a different estimate of the proportion of fuel used for stationary applications. There does not seem to be a systematic process for making this allocation. </w:t>
      </w:r>
    </w:p>
    <w:p w14:paraId="5A1FE14F" w14:textId="77777777" w:rsidR="002831F2" w:rsidRDefault="002831F2" w:rsidP="002831F2">
      <w:pPr>
        <w:rPr>
          <w:b/>
          <w:bCs/>
        </w:rPr>
      </w:pPr>
    </w:p>
    <w:p w14:paraId="14138405" w14:textId="77777777" w:rsidR="002831F2" w:rsidRDefault="002831F2" w:rsidP="002831F2">
      <w:pPr>
        <w:rPr>
          <w:b/>
          <w:bCs/>
        </w:rPr>
      </w:pPr>
    </w:p>
    <w:p w14:paraId="4BBC7202" w14:textId="77777777" w:rsidR="002831F2" w:rsidRDefault="002831F2" w:rsidP="002831F2">
      <w:pPr>
        <w:rPr>
          <w:b/>
          <w:bCs/>
        </w:rPr>
      </w:pPr>
      <w:r>
        <w:rPr>
          <w:b/>
          <w:bCs/>
        </w:rPr>
        <w:br w:type="page"/>
      </w:r>
    </w:p>
    <w:p w14:paraId="176E876D" w14:textId="77777777" w:rsidR="002831F2" w:rsidRPr="008B5C0A" w:rsidRDefault="002831F2" w:rsidP="002831F2">
      <w:pPr>
        <w:rPr>
          <w:u w:val="single"/>
        </w:rPr>
      </w:pPr>
      <w:r w:rsidRPr="008B5C0A">
        <w:rPr>
          <w:u w:val="single"/>
        </w:rPr>
        <w:lastRenderedPageBreak/>
        <w:t>E&amp;Y Methodology</w:t>
      </w:r>
    </w:p>
    <w:p w14:paraId="064E2C21" w14:textId="77777777" w:rsidR="002831F2" w:rsidRDefault="002831F2" w:rsidP="002831F2">
      <w:pPr>
        <w:spacing w:before="120" w:after="120" w:line="276" w:lineRule="auto"/>
        <w:jc w:val="both"/>
      </w:pPr>
      <w:r>
        <w:t xml:space="preserve">This method incorporates three data sets. The first data set provides data on fuel sales for Dunedin City from classified petrol stations within the district including self-pump stations. This is </w:t>
      </w:r>
      <w:proofErr w:type="spellStart"/>
      <w:r>
        <w:t>StatsNZ</w:t>
      </w:r>
      <w:proofErr w:type="spellEnd"/>
      <w:r>
        <w:t xml:space="preserve"> data received on the 24</w:t>
      </w:r>
      <w:r w:rsidRPr="0085170F">
        <w:rPr>
          <w:vertAlign w:val="superscript"/>
        </w:rPr>
        <w:t>th</w:t>
      </w:r>
      <w:r>
        <w:t xml:space="preserve"> of August 2021 from Kathy Hicks (kathy.hicks@stats.govt.nz). It not clear how this data is collected The second data set is provided by EECA providing a national breakdown on petrol and diesel use</w:t>
      </w:r>
      <w:r>
        <w:rPr>
          <w:rStyle w:val="FootnoteReference"/>
        </w:rPr>
        <w:footnoteReference w:id="7"/>
      </w:r>
      <w:r>
        <w:t>. Finally, quarterly national fuel prices were obtained from MBIE for both diesel and petrol</w:t>
      </w:r>
      <w:r>
        <w:rPr>
          <w:rStyle w:val="FootnoteReference"/>
        </w:rPr>
        <w:footnoteReference w:id="8"/>
      </w:r>
      <w:r>
        <w:t>.</w:t>
      </w:r>
    </w:p>
    <w:p w14:paraId="7FFFA50F" w14:textId="77777777" w:rsidR="002831F2" w:rsidRDefault="002831F2" w:rsidP="002831F2">
      <w:pPr>
        <w:spacing w:before="120" w:after="120" w:line="276" w:lineRule="auto"/>
        <w:jc w:val="both"/>
      </w:pPr>
      <w:r>
        <w:t xml:space="preserve">Fuel sales data from </w:t>
      </w:r>
      <w:proofErr w:type="spellStart"/>
      <w:r>
        <w:t>StatsNZ</w:t>
      </w:r>
      <w:proofErr w:type="spellEnd"/>
      <w:r>
        <w:t xml:space="preserve"> does not distinguish between petrol and diesel sales. We utilise the national share of diesel and petrol use in combination with fuel prices to transform fuel sales into petrol and diesel use in litres. On this basis, emission caused by diesel and petrol use in Dunedin City can be estimated. In the following, this process is elucidated.</w:t>
      </w:r>
    </w:p>
    <w:p w14:paraId="0D6C1DB3" w14:textId="77777777" w:rsidR="002831F2" w:rsidRDefault="002831F2" w:rsidP="002831F2">
      <w:pPr>
        <w:spacing w:before="120" w:after="120" w:line="276" w:lineRule="auto"/>
        <w:jc w:val="both"/>
      </w:pPr>
      <w:r>
        <w:t>Fuel sales data does not include GST. In a first step, we thus deduct GST from quarterly petrol  prices. MBIE provides a sales-weighted average of regular and premium petrol. Here we use the this average from the “quarterly c per unit (real)” tab. In terms of diesel, commercial prices are used (they already exclude GST). For the 2018/2019 financial year the GST exempt fuel prices are as follows:</w:t>
      </w:r>
    </w:p>
    <w:tbl>
      <w:tblPr>
        <w:tblStyle w:val="TableGrid"/>
        <w:tblW w:w="8135" w:type="dxa"/>
        <w:jc w:val="center"/>
        <w:tblLook w:val="04A0" w:firstRow="1" w:lastRow="0" w:firstColumn="1" w:lastColumn="0" w:noHBand="0" w:noVBand="1"/>
      </w:tblPr>
      <w:tblGrid>
        <w:gridCol w:w="1850"/>
        <w:gridCol w:w="1563"/>
        <w:gridCol w:w="1596"/>
        <w:gridCol w:w="1563"/>
        <w:gridCol w:w="1563"/>
      </w:tblGrid>
      <w:tr w:rsidR="002831F2" w:rsidRPr="000A5F16" w14:paraId="2AF9174A" w14:textId="77777777" w:rsidTr="00C3245E">
        <w:trPr>
          <w:jc w:val="center"/>
        </w:trPr>
        <w:tc>
          <w:tcPr>
            <w:tcW w:w="1850" w:type="dxa"/>
          </w:tcPr>
          <w:p w14:paraId="07BC0936" w14:textId="77777777" w:rsidR="002831F2" w:rsidRPr="000A5F16" w:rsidRDefault="002831F2" w:rsidP="00C3245E">
            <w:pPr>
              <w:rPr>
                <w:b/>
                <w:bCs/>
                <w:sz w:val="22"/>
                <w:szCs w:val="22"/>
              </w:rPr>
            </w:pPr>
            <w:r w:rsidRPr="000A5F16">
              <w:rPr>
                <w:b/>
                <w:bCs/>
                <w:sz w:val="22"/>
                <w:szCs w:val="22"/>
              </w:rPr>
              <w:t>Fuel excl. GST</w:t>
            </w:r>
          </w:p>
        </w:tc>
        <w:tc>
          <w:tcPr>
            <w:tcW w:w="1563" w:type="dxa"/>
          </w:tcPr>
          <w:p w14:paraId="53BA2466" w14:textId="77777777" w:rsidR="002831F2" w:rsidRPr="000A5F16" w:rsidRDefault="002831F2" w:rsidP="00C3245E">
            <w:pPr>
              <w:rPr>
                <w:b/>
                <w:bCs/>
                <w:sz w:val="22"/>
                <w:szCs w:val="22"/>
              </w:rPr>
            </w:pPr>
            <w:r w:rsidRPr="000A5F16">
              <w:rPr>
                <w:b/>
                <w:bCs/>
                <w:sz w:val="22"/>
                <w:szCs w:val="22"/>
              </w:rPr>
              <w:t xml:space="preserve">Q3 2018 </w:t>
            </w:r>
            <w:proofErr w:type="spellStart"/>
            <w:r w:rsidRPr="000A5F16">
              <w:rPr>
                <w:b/>
                <w:bCs/>
                <w:sz w:val="22"/>
                <w:szCs w:val="22"/>
              </w:rPr>
              <w:t>ct</w:t>
            </w:r>
            <w:proofErr w:type="spellEnd"/>
            <w:r w:rsidRPr="000A5F16">
              <w:rPr>
                <w:b/>
                <w:bCs/>
                <w:sz w:val="22"/>
                <w:szCs w:val="22"/>
              </w:rPr>
              <w:t>/l</w:t>
            </w:r>
          </w:p>
        </w:tc>
        <w:tc>
          <w:tcPr>
            <w:tcW w:w="1596" w:type="dxa"/>
          </w:tcPr>
          <w:p w14:paraId="27133758" w14:textId="77777777" w:rsidR="002831F2" w:rsidRPr="000A5F16" w:rsidRDefault="002831F2" w:rsidP="00C3245E">
            <w:pPr>
              <w:rPr>
                <w:b/>
                <w:bCs/>
                <w:sz w:val="22"/>
                <w:szCs w:val="22"/>
              </w:rPr>
            </w:pPr>
            <w:r w:rsidRPr="000A5F16">
              <w:rPr>
                <w:b/>
                <w:bCs/>
                <w:sz w:val="22"/>
                <w:szCs w:val="22"/>
              </w:rPr>
              <w:t xml:space="preserve">Q4 2018 </w:t>
            </w:r>
            <w:proofErr w:type="spellStart"/>
            <w:r w:rsidRPr="000A5F16">
              <w:rPr>
                <w:b/>
                <w:bCs/>
                <w:sz w:val="22"/>
                <w:szCs w:val="22"/>
              </w:rPr>
              <w:t>ct</w:t>
            </w:r>
            <w:proofErr w:type="spellEnd"/>
            <w:r w:rsidRPr="000A5F16">
              <w:rPr>
                <w:b/>
                <w:bCs/>
                <w:sz w:val="22"/>
                <w:szCs w:val="22"/>
              </w:rPr>
              <w:t>/l</w:t>
            </w:r>
          </w:p>
        </w:tc>
        <w:tc>
          <w:tcPr>
            <w:tcW w:w="1563" w:type="dxa"/>
          </w:tcPr>
          <w:p w14:paraId="273F0017" w14:textId="77777777" w:rsidR="002831F2" w:rsidRPr="000A5F16" w:rsidRDefault="002831F2" w:rsidP="00C3245E">
            <w:pPr>
              <w:rPr>
                <w:b/>
                <w:bCs/>
                <w:sz w:val="22"/>
                <w:szCs w:val="22"/>
              </w:rPr>
            </w:pPr>
            <w:r w:rsidRPr="000A5F16">
              <w:rPr>
                <w:b/>
                <w:bCs/>
                <w:sz w:val="22"/>
                <w:szCs w:val="22"/>
              </w:rPr>
              <w:t xml:space="preserve">Q1 2019 </w:t>
            </w:r>
            <w:proofErr w:type="spellStart"/>
            <w:r w:rsidRPr="000A5F16">
              <w:rPr>
                <w:b/>
                <w:bCs/>
                <w:sz w:val="22"/>
                <w:szCs w:val="22"/>
              </w:rPr>
              <w:t>ct</w:t>
            </w:r>
            <w:proofErr w:type="spellEnd"/>
            <w:r w:rsidRPr="000A5F16">
              <w:rPr>
                <w:b/>
                <w:bCs/>
                <w:sz w:val="22"/>
                <w:szCs w:val="22"/>
              </w:rPr>
              <w:t>/l</w:t>
            </w:r>
          </w:p>
        </w:tc>
        <w:tc>
          <w:tcPr>
            <w:tcW w:w="1563" w:type="dxa"/>
          </w:tcPr>
          <w:p w14:paraId="36F33305" w14:textId="77777777" w:rsidR="002831F2" w:rsidRPr="000A5F16" w:rsidRDefault="002831F2" w:rsidP="00C3245E">
            <w:pPr>
              <w:rPr>
                <w:b/>
                <w:bCs/>
                <w:sz w:val="22"/>
                <w:szCs w:val="22"/>
              </w:rPr>
            </w:pPr>
            <w:r w:rsidRPr="000A5F16">
              <w:rPr>
                <w:b/>
                <w:bCs/>
                <w:sz w:val="22"/>
                <w:szCs w:val="22"/>
              </w:rPr>
              <w:t xml:space="preserve">Q2 2019 </w:t>
            </w:r>
            <w:proofErr w:type="spellStart"/>
            <w:r w:rsidRPr="000A5F16">
              <w:rPr>
                <w:b/>
                <w:bCs/>
                <w:sz w:val="22"/>
                <w:szCs w:val="22"/>
              </w:rPr>
              <w:t>ct</w:t>
            </w:r>
            <w:proofErr w:type="spellEnd"/>
            <w:r w:rsidRPr="000A5F16">
              <w:rPr>
                <w:b/>
                <w:bCs/>
                <w:sz w:val="22"/>
                <w:szCs w:val="22"/>
              </w:rPr>
              <w:t>/l</w:t>
            </w:r>
          </w:p>
        </w:tc>
      </w:tr>
      <w:tr w:rsidR="002831F2" w:rsidRPr="000A5F16" w14:paraId="06DBA517" w14:textId="77777777" w:rsidTr="00C3245E">
        <w:trPr>
          <w:jc w:val="center"/>
        </w:trPr>
        <w:tc>
          <w:tcPr>
            <w:tcW w:w="1850" w:type="dxa"/>
          </w:tcPr>
          <w:p w14:paraId="30FF4EDF" w14:textId="77777777" w:rsidR="002831F2" w:rsidRPr="000A5F16" w:rsidRDefault="002831F2" w:rsidP="00C3245E">
            <w:pPr>
              <w:rPr>
                <w:sz w:val="22"/>
                <w:szCs w:val="22"/>
              </w:rPr>
            </w:pPr>
            <w:r w:rsidRPr="000A5F16">
              <w:rPr>
                <w:sz w:val="22"/>
                <w:szCs w:val="22"/>
              </w:rPr>
              <w:t>Petrol</w:t>
            </w:r>
          </w:p>
        </w:tc>
        <w:tc>
          <w:tcPr>
            <w:tcW w:w="1563" w:type="dxa"/>
          </w:tcPr>
          <w:p w14:paraId="4D818472" w14:textId="77777777" w:rsidR="002831F2" w:rsidRPr="003564D8" w:rsidRDefault="002831F2" w:rsidP="00C3245E">
            <w:pPr>
              <w:rPr>
                <w:sz w:val="22"/>
                <w:szCs w:val="22"/>
              </w:rPr>
            </w:pPr>
            <w:r w:rsidRPr="003564D8">
              <w:rPr>
                <w:sz w:val="22"/>
                <w:szCs w:val="22"/>
              </w:rPr>
              <w:t xml:space="preserve">197.84 </w:t>
            </w:r>
          </w:p>
        </w:tc>
        <w:tc>
          <w:tcPr>
            <w:tcW w:w="1596" w:type="dxa"/>
          </w:tcPr>
          <w:p w14:paraId="7CC2F588" w14:textId="77777777" w:rsidR="002831F2" w:rsidRPr="003564D8" w:rsidRDefault="002831F2" w:rsidP="00C3245E">
            <w:pPr>
              <w:rPr>
                <w:sz w:val="22"/>
                <w:szCs w:val="22"/>
              </w:rPr>
            </w:pPr>
            <w:r w:rsidRPr="003564D8">
              <w:rPr>
                <w:sz w:val="22"/>
                <w:szCs w:val="22"/>
              </w:rPr>
              <w:t xml:space="preserve">196.26 </w:t>
            </w:r>
          </w:p>
        </w:tc>
        <w:tc>
          <w:tcPr>
            <w:tcW w:w="1563" w:type="dxa"/>
          </w:tcPr>
          <w:p w14:paraId="5E5266BA" w14:textId="77777777" w:rsidR="002831F2" w:rsidRPr="003564D8" w:rsidRDefault="002831F2" w:rsidP="00C3245E">
            <w:pPr>
              <w:rPr>
                <w:sz w:val="22"/>
                <w:szCs w:val="22"/>
              </w:rPr>
            </w:pPr>
            <w:r w:rsidRPr="003564D8">
              <w:rPr>
                <w:sz w:val="22"/>
                <w:szCs w:val="22"/>
              </w:rPr>
              <w:t xml:space="preserve">182.56 </w:t>
            </w:r>
          </w:p>
        </w:tc>
        <w:tc>
          <w:tcPr>
            <w:tcW w:w="1563" w:type="dxa"/>
          </w:tcPr>
          <w:p w14:paraId="1A3BE562" w14:textId="77777777" w:rsidR="002831F2" w:rsidRPr="003564D8" w:rsidRDefault="002831F2" w:rsidP="00C3245E">
            <w:pPr>
              <w:rPr>
                <w:sz w:val="22"/>
                <w:szCs w:val="22"/>
              </w:rPr>
            </w:pPr>
            <w:r w:rsidRPr="003564D8">
              <w:rPr>
                <w:sz w:val="22"/>
                <w:szCs w:val="22"/>
              </w:rPr>
              <w:t xml:space="preserve">191.97 </w:t>
            </w:r>
          </w:p>
        </w:tc>
      </w:tr>
      <w:tr w:rsidR="002831F2" w:rsidRPr="000A5F16" w14:paraId="2FA86B06" w14:textId="77777777" w:rsidTr="00C3245E">
        <w:trPr>
          <w:jc w:val="center"/>
        </w:trPr>
        <w:tc>
          <w:tcPr>
            <w:tcW w:w="1850" w:type="dxa"/>
          </w:tcPr>
          <w:p w14:paraId="33591795" w14:textId="77777777" w:rsidR="002831F2" w:rsidRPr="000A5F16" w:rsidRDefault="002831F2" w:rsidP="00C3245E">
            <w:pPr>
              <w:rPr>
                <w:sz w:val="22"/>
                <w:szCs w:val="22"/>
              </w:rPr>
            </w:pPr>
            <w:r w:rsidRPr="000A5F16">
              <w:rPr>
                <w:sz w:val="22"/>
                <w:szCs w:val="22"/>
              </w:rPr>
              <w:t>Diesel</w:t>
            </w:r>
          </w:p>
        </w:tc>
        <w:tc>
          <w:tcPr>
            <w:tcW w:w="1563" w:type="dxa"/>
          </w:tcPr>
          <w:p w14:paraId="7BEA79C1" w14:textId="77777777" w:rsidR="002831F2" w:rsidRPr="000A5F16" w:rsidRDefault="002831F2" w:rsidP="00C3245E">
            <w:pPr>
              <w:rPr>
                <w:sz w:val="22"/>
                <w:szCs w:val="22"/>
              </w:rPr>
            </w:pPr>
            <w:r w:rsidRPr="000A5F16">
              <w:rPr>
                <w:sz w:val="22"/>
                <w:szCs w:val="22"/>
              </w:rPr>
              <w:t xml:space="preserve">111.81 </w:t>
            </w:r>
          </w:p>
        </w:tc>
        <w:tc>
          <w:tcPr>
            <w:tcW w:w="1596" w:type="dxa"/>
          </w:tcPr>
          <w:p w14:paraId="6D4DDE04" w14:textId="77777777" w:rsidR="002831F2" w:rsidRPr="000A5F16" w:rsidRDefault="002831F2" w:rsidP="00C3245E">
            <w:pPr>
              <w:rPr>
                <w:sz w:val="22"/>
                <w:szCs w:val="22"/>
              </w:rPr>
            </w:pPr>
            <w:r w:rsidRPr="000A5F16">
              <w:rPr>
                <w:sz w:val="22"/>
                <w:szCs w:val="22"/>
              </w:rPr>
              <w:t xml:space="preserve">104.41 </w:t>
            </w:r>
          </w:p>
        </w:tc>
        <w:tc>
          <w:tcPr>
            <w:tcW w:w="1563" w:type="dxa"/>
          </w:tcPr>
          <w:p w14:paraId="5F4B37DC" w14:textId="77777777" w:rsidR="002831F2" w:rsidRPr="000A5F16" w:rsidRDefault="002831F2" w:rsidP="00C3245E">
            <w:pPr>
              <w:rPr>
                <w:sz w:val="22"/>
                <w:szCs w:val="22"/>
              </w:rPr>
            </w:pPr>
            <w:r w:rsidRPr="000A5F16">
              <w:rPr>
                <w:sz w:val="22"/>
                <w:szCs w:val="22"/>
              </w:rPr>
              <w:t xml:space="preserve">95.49 </w:t>
            </w:r>
          </w:p>
        </w:tc>
        <w:tc>
          <w:tcPr>
            <w:tcW w:w="1563" w:type="dxa"/>
          </w:tcPr>
          <w:p w14:paraId="63AAEF3A" w14:textId="77777777" w:rsidR="002831F2" w:rsidRPr="000A5F16" w:rsidRDefault="002831F2" w:rsidP="00C3245E">
            <w:pPr>
              <w:rPr>
                <w:sz w:val="22"/>
                <w:szCs w:val="22"/>
              </w:rPr>
            </w:pPr>
            <w:r w:rsidRPr="000A5F16">
              <w:rPr>
                <w:sz w:val="22"/>
                <w:szCs w:val="22"/>
              </w:rPr>
              <w:t xml:space="preserve">102.26 </w:t>
            </w:r>
          </w:p>
        </w:tc>
      </w:tr>
    </w:tbl>
    <w:p w14:paraId="6B1E8EAF" w14:textId="77777777" w:rsidR="002831F2" w:rsidRDefault="002831F2" w:rsidP="002831F2">
      <w:pPr>
        <w:spacing w:before="120" w:after="120" w:line="276" w:lineRule="auto"/>
        <w:jc w:val="both"/>
      </w:pPr>
      <w:r>
        <w:t>In a second step, a national breakdown for diesel and petrol use is calculated using EECA’s energy end-use database. For both diesel and petrol we filter by Fuel Type, Land Transport End Use, and Date reflecting the 2018/2019 most appropriately. A sum is built over all sectors for each fuel type. This equates to:</w:t>
      </w:r>
    </w:p>
    <w:tbl>
      <w:tblPr>
        <w:tblStyle w:val="TableGrid"/>
        <w:tblW w:w="3960" w:type="dxa"/>
        <w:jc w:val="center"/>
        <w:tblLook w:val="04A0" w:firstRow="1" w:lastRow="0" w:firstColumn="1" w:lastColumn="0" w:noHBand="0" w:noVBand="1"/>
      </w:tblPr>
      <w:tblGrid>
        <w:gridCol w:w="1850"/>
        <w:gridCol w:w="2110"/>
      </w:tblGrid>
      <w:tr w:rsidR="002831F2" w:rsidRPr="000A5F16" w14:paraId="5824F27E" w14:textId="77777777" w:rsidTr="00C3245E">
        <w:trPr>
          <w:jc w:val="center"/>
        </w:trPr>
        <w:tc>
          <w:tcPr>
            <w:tcW w:w="1850" w:type="dxa"/>
          </w:tcPr>
          <w:p w14:paraId="0E54B0AF" w14:textId="77777777" w:rsidR="002831F2" w:rsidRPr="000A5F16" w:rsidRDefault="002831F2" w:rsidP="00C3245E">
            <w:pPr>
              <w:rPr>
                <w:b/>
                <w:bCs/>
                <w:sz w:val="21"/>
                <w:szCs w:val="21"/>
              </w:rPr>
            </w:pPr>
            <w:r w:rsidRPr="000A5F16">
              <w:rPr>
                <w:b/>
                <w:bCs/>
                <w:sz w:val="21"/>
                <w:szCs w:val="21"/>
              </w:rPr>
              <w:t>Fuel Type</w:t>
            </w:r>
          </w:p>
        </w:tc>
        <w:tc>
          <w:tcPr>
            <w:tcW w:w="2110" w:type="dxa"/>
          </w:tcPr>
          <w:p w14:paraId="620AECA2" w14:textId="77777777" w:rsidR="002831F2" w:rsidRPr="000A5F16" w:rsidRDefault="002831F2" w:rsidP="00C3245E">
            <w:pPr>
              <w:rPr>
                <w:b/>
                <w:bCs/>
                <w:sz w:val="21"/>
                <w:szCs w:val="21"/>
              </w:rPr>
            </w:pPr>
            <w:r w:rsidRPr="000A5F16">
              <w:rPr>
                <w:b/>
                <w:bCs/>
                <w:sz w:val="21"/>
                <w:szCs w:val="21"/>
              </w:rPr>
              <w:t>Use in TJ in 2018</w:t>
            </w:r>
          </w:p>
        </w:tc>
      </w:tr>
      <w:tr w:rsidR="002831F2" w:rsidRPr="000A5F16" w14:paraId="4CF1FE10" w14:textId="77777777" w:rsidTr="00C3245E">
        <w:trPr>
          <w:jc w:val="center"/>
        </w:trPr>
        <w:tc>
          <w:tcPr>
            <w:tcW w:w="1850" w:type="dxa"/>
          </w:tcPr>
          <w:p w14:paraId="1C77BE57" w14:textId="77777777" w:rsidR="002831F2" w:rsidRPr="000A5F16" w:rsidRDefault="002831F2" w:rsidP="00C3245E">
            <w:pPr>
              <w:rPr>
                <w:sz w:val="21"/>
                <w:szCs w:val="21"/>
              </w:rPr>
            </w:pPr>
            <w:r w:rsidRPr="000A5F16">
              <w:rPr>
                <w:sz w:val="21"/>
                <w:szCs w:val="21"/>
              </w:rPr>
              <w:t>Petrol</w:t>
            </w:r>
          </w:p>
        </w:tc>
        <w:tc>
          <w:tcPr>
            <w:tcW w:w="2110" w:type="dxa"/>
          </w:tcPr>
          <w:p w14:paraId="38CDDF08" w14:textId="77777777" w:rsidR="002831F2" w:rsidRPr="000A5F16" w:rsidRDefault="002831F2" w:rsidP="00C3245E">
            <w:pPr>
              <w:rPr>
                <w:sz w:val="21"/>
                <w:szCs w:val="21"/>
              </w:rPr>
            </w:pPr>
            <w:r>
              <w:rPr>
                <w:sz w:val="21"/>
                <w:szCs w:val="21"/>
              </w:rPr>
              <w:t>113,264</w:t>
            </w:r>
          </w:p>
        </w:tc>
      </w:tr>
      <w:tr w:rsidR="002831F2" w:rsidRPr="000A5F16" w14:paraId="5747D28D" w14:textId="77777777" w:rsidTr="00C3245E">
        <w:trPr>
          <w:jc w:val="center"/>
        </w:trPr>
        <w:tc>
          <w:tcPr>
            <w:tcW w:w="1850" w:type="dxa"/>
          </w:tcPr>
          <w:p w14:paraId="7AAC8294" w14:textId="77777777" w:rsidR="002831F2" w:rsidRPr="000A5F16" w:rsidRDefault="002831F2" w:rsidP="00C3245E">
            <w:pPr>
              <w:rPr>
                <w:sz w:val="21"/>
                <w:szCs w:val="21"/>
              </w:rPr>
            </w:pPr>
            <w:r w:rsidRPr="000A5F16">
              <w:rPr>
                <w:sz w:val="21"/>
                <w:szCs w:val="21"/>
              </w:rPr>
              <w:t>Diesel</w:t>
            </w:r>
          </w:p>
        </w:tc>
        <w:tc>
          <w:tcPr>
            <w:tcW w:w="2110" w:type="dxa"/>
          </w:tcPr>
          <w:p w14:paraId="471A4EA4" w14:textId="77777777" w:rsidR="002831F2" w:rsidRPr="000A5F16" w:rsidRDefault="002831F2" w:rsidP="00C3245E">
            <w:pPr>
              <w:rPr>
                <w:sz w:val="21"/>
                <w:szCs w:val="21"/>
              </w:rPr>
            </w:pPr>
            <w:r>
              <w:rPr>
                <w:sz w:val="21"/>
                <w:szCs w:val="21"/>
              </w:rPr>
              <w:t>138,331</w:t>
            </w:r>
          </w:p>
        </w:tc>
      </w:tr>
    </w:tbl>
    <w:p w14:paraId="7965576A" w14:textId="77777777" w:rsidR="002831F2" w:rsidRDefault="002831F2" w:rsidP="002831F2">
      <w:pPr>
        <w:spacing w:before="120" w:after="120" w:line="276" w:lineRule="auto"/>
        <w:jc w:val="both"/>
      </w:pPr>
      <w:r>
        <w:t>These energy values are then converted into litres ensuring that not energy but quantity is reflected in the proportionate share of fuel use. The following conversion rates were applied</w:t>
      </w:r>
      <w:r>
        <w:rPr>
          <w:rStyle w:val="FootnoteReference"/>
        </w:rPr>
        <w:footnoteReference w:id="9"/>
      </w:r>
      <w:r>
        <w:t>:</w:t>
      </w:r>
    </w:p>
    <w:tbl>
      <w:tblPr>
        <w:tblStyle w:val="TableGrid"/>
        <w:tblW w:w="3960" w:type="dxa"/>
        <w:jc w:val="center"/>
        <w:tblLook w:val="04A0" w:firstRow="1" w:lastRow="0" w:firstColumn="1" w:lastColumn="0" w:noHBand="0" w:noVBand="1"/>
      </w:tblPr>
      <w:tblGrid>
        <w:gridCol w:w="1850"/>
        <w:gridCol w:w="2110"/>
      </w:tblGrid>
      <w:tr w:rsidR="002831F2" w:rsidRPr="000A5F16" w14:paraId="2757B677" w14:textId="77777777" w:rsidTr="00C3245E">
        <w:trPr>
          <w:jc w:val="center"/>
        </w:trPr>
        <w:tc>
          <w:tcPr>
            <w:tcW w:w="1850" w:type="dxa"/>
          </w:tcPr>
          <w:p w14:paraId="3FD788CD" w14:textId="77777777" w:rsidR="002831F2" w:rsidRPr="000A5F16" w:rsidRDefault="002831F2" w:rsidP="00C3245E">
            <w:pPr>
              <w:rPr>
                <w:b/>
                <w:bCs/>
                <w:sz w:val="22"/>
                <w:szCs w:val="22"/>
              </w:rPr>
            </w:pPr>
            <w:r w:rsidRPr="000A5F16">
              <w:rPr>
                <w:b/>
                <w:bCs/>
                <w:sz w:val="22"/>
                <w:szCs w:val="22"/>
              </w:rPr>
              <w:t>Fuel Type</w:t>
            </w:r>
          </w:p>
        </w:tc>
        <w:tc>
          <w:tcPr>
            <w:tcW w:w="2110" w:type="dxa"/>
          </w:tcPr>
          <w:p w14:paraId="4AA7EDB9" w14:textId="77777777" w:rsidR="002831F2" w:rsidRPr="000A5F16" w:rsidRDefault="002831F2" w:rsidP="00C3245E">
            <w:pPr>
              <w:rPr>
                <w:b/>
                <w:bCs/>
                <w:sz w:val="22"/>
                <w:szCs w:val="22"/>
              </w:rPr>
            </w:pPr>
            <w:r w:rsidRPr="000A5F16">
              <w:rPr>
                <w:b/>
                <w:bCs/>
                <w:sz w:val="22"/>
                <w:szCs w:val="22"/>
              </w:rPr>
              <w:t>MJ/L</w:t>
            </w:r>
          </w:p>
        </w:tc>
      </w:tr>
      <w:tr w:rsidR="002831F2" w:rsidRPr="000A5F16" w14:paraId="41A08405" w14:textId="77777777" w:rsidTr="00C3245E">
        <w:trPr>
          <w:jc w:val="center"/>
        </w:trPr>
        <w:tc>
          <w:tcPr>
            <w:tcW w:w="1850" w:type="dxa"/>
          </w:tcPr>
          <w:p w14:paraId="6AFFA80D" w14:textId="77777777" w:rsidR="002831F2" w:rsidRPr="003564D8" w:rsidRDefault="002831F2" w:rsidP="00C3245E">
            <w:pPr>
              <w:rPr>
                <w:sz w:val="22"/>
                <w:szCs w:val="22"/>
              </w:rPr>
            </w:pPr>
            <w:r w:rsidRPr="003564D8">
              <w:rPr>
                <w:sz w:val="22"/>
                <w:szCs w:val="22"/>
              </w:rPr>
              <w:t>Petrol</w:t>
            </w:r>
          </w:p>
        </w:tc>
        <w:tc>
          <w:tcPr>
            <w:tcW w:w="2110" w:type="dxa"/>
          </w:tcPr>
          <w:p w14:paraId="6CDEFD18" w14:textId="77777777" w:rsidR="002831F2" w:rsidRPr="003564D8" w:rsidRDefault="002831F2" w:rsidP="00C3245E">
            <w:pPr>
              <w:rPr>
                <w:sz w:val="22"/>
                <w:szCs w:val="22"/>
              </w:rPr>
            </w:pPr>
            <w:r w:rsidRPr="003564D8">
              <w:rPr>
                <w:sz w:val="22"/>
                <w:szCs w:val="22"/>
              </w:rPr>
              <w:t>35.28</w:t>
            </w:r>
          </w:p>
        </w:tc>
      </w:tr>
      <w:tr w:rsidR="002831F2" w:rsidRPr="000A5F16" w14:paraId="73F354C6" w14:textId="77777777" w:rsidTr="00C3245E">
        <w:trPr>
          <w:jc w:val="center"/>
        </w:trPr>
        <w:tc>
          <w:tcPr>
            <w:tcW w:w="1850" w:type="dxa"/>
          </w:tcPr>
          <w:p w14:paraId="45F588DC" w14:textId="77777777" w:rsidR="002831F2" w:rsidRPr="003564D8" w:rsidRDefault="002831F2" w:rsidP="00C3245E">
            <w:pPr>
              <w:rPr>
                <w:sz w:val="22"/>
                <w:szCs w:val="22"/>
              </w:rPr>
            </w:pPr>
            <w:r w:rsidRPr="003564D8">
              <w:rPr>
                <w:sz w:val="22"/>
                <w:szCs w:val="22"/>
              </w:rPr>
              <w:t>Diesel</w:t>
            </w:r>
          </w:p>
        </w:tc>
        <w:tc>
          <w:tcPr>
            <w:tcW w:w="2110" w:type="dxa"/>
          </w:tcPr>
          <w:p w14:paraId="77903FFA" w14:textId="77777777" w:rsidR="002831F2" w:rsidRPr="003564D8" w:rsidRDefault="002831F2" w:rsidP="00C3245E">
            <w:pPr>
              <w:rPr>
                <w:sz w:val="22"/>
                <w:szCs w:val="22"/>
              </w:rPr>
            </w:pPr>
            <w:r w:rsidRPr="003564D8">
              <w:rPr>
                <w:sz w:val="22"/>
                <w:szCs w:val="22"/>
              </w:rPr>
              <w:t>38.21</w:t>
            </w:r>
          </w:p>
        </w:tc>
      </w:tr>
    </w:tbl>
    <w:p w14:paraId="590832FA" w14:textId="77777777" w:rsidR="002831F2" w:rsidRPr="005E275D" w:rsidRDefault="002831F2" w:rsidP="002831F2">
      <w:pPr>
        <w:spacing w:before="120" w:after="120" w:line="276" w:lineRule="auto"/>
        <w:jc w:val="both"/>
      </w:pPr>
      <w:r>
        <w:t xml:space="preserve">This equates to a </w:t>
      </w:r>
      <w:r w:rsidRPr="005E275D">
        <w:t>national fuel use in litres of:</w:t>
      </w:r>
    </w:p>
    <w:p w14:paraId="2A989530" w14:textId="77777777" w:rsidR="002831F2" w:rsidRPr="003564D8" w:rsidRDefault="002831F2" w:rsidP="002831F2">
      <w:pPr>
        <w:pStyle w:val="ListParagraph"/>
        <w:numPr>
          <w:ilvl w:val="0"/>
          <w:numId w:val="2"/>
        </w:numPr>
        <w:spacing w:before="120" w:after="120" w:line="276" w:lineRule="auto"/>
        <w:ind w:left="714" w:hanging="357"/>
        <w:jc w:val="center"/>
        <w:rPr>
          <w:rFonts w:ascii="Times New Roman" w:hAnsi="Times New Roman" w:cs="Times New Roman"/>
        </w:rPr>
      </w:pPr>
      <w:r w:rsidRPr="003564D8">
        <w:rPr>
          <w:rFonts w:ascii="Times New Roman" w:hAnsi="Times New Roman" w:cs="Times New Roman"/>
        </w:rPr>
        <w:t>3,620,282,649 litres of diesel</w:t>
      </w:r>
    </w:p>
    <w:p w14:paraId="3AA00949" w14:textId="77777777" w:rsidR="002831F2" w:rsidRPr="003564D8" w:rsidRDefault="002831F2" w:rsidP="002831F2">
      <w:pPr>
        <w:pStyle w:val="ListParagraph"/>
        <w:numPr>
          <w:ilvl w:val="0"/>
          <w:numId w:val="2"/>
        </w:numPr>
        <w:spacing w:after="120" w:line="276" w:lineRule="auto"/>
        <w:ind w:left="714" w:hanging="357"/>
        <w:jc w:val="center"/>
        <w:rPr>
          <w:rFonts w:ascii="Times New Roman" w:hAnsi="Times New Roman" w:cs="Times New Roman"/>
        </w:rPr>
      </w:pPr>
      <w:r w:rsidRPr="003564D8">
        <w:rPr>
          <w:rFonts w:ascii="Times New Roman" w:hAnsi="Times New Roman" w:cs="Times New Roman"/>
        </w:rPr>
        <w:t>3,210,430,839 litres of petrol</w:t>
      </w:r>
    </w:p>
    <w:p w14:paraId="28910DDD" w14:textId="77777777" w:rsidR="002831F2" w:rsidRDefault="002831F2" w:rsidP="002831F2">
      <w:pPr>
        <w:spacing w:before="120" w:after="120" w:line="276" w:lineRule="auto"/>
        <w:jc w:val="both"/>
      </w:pPr>
      <w:r>
        <w:lastRenderedPageBreak/>
        <w:t xml:space="preserve">used in the financial year of 2018/2019. By using the average price of petrol and diesel over the quarters constituting the financial year of 2018/2019 we can calculate the national share of diesel and petrol sales. The average price for petrol and diesel uses the fuel prices from above. </w:t>
      </w:r>
    </w:p>
    <w:tbl>
      <w:tblPr>
        <w:tblStyle w:val="TableGrid"/>
        <w:tblW w:w="4531" w:type="dxa"/>
        <w:jc w:val="center"/>
        <w:tblLook w:val="04A0" w:firstRow="1" w:lastRow="0" w:firstColumn="1" w:lastColumn="0" w:noHBand="0" w:noVBand="1"/>
      </w:tblPr>
      <w:tblGrid>
        <w:gridCol w:w="1850"/>
        <w:gridCol w:w="2681"/>
      </w:tblGrid>
      <w:tr w:rsidR="002831F2" w:rsidRPr="000A5F16" w14:paraId="2BE02458" w14:textId="77777777" w:rsidTr="00C3245E">
        <w:trPr>
          <w:jc w:val="center"/>
        </w:trPr>
        <w:tc>
          <w:tcPr>
            <w:tcW w:w="1850" w:type="dxa"/>
          </w:tcPr>
          <w:p w14:paraId="5FCD90AE" w14:textId="77777777" w:rsidR="002831F2" w:rsidRPr="000A5F16" w:rsidRDefault="002831F2" w:rsidP="00C3245E">
            <w:pPr>
              <w:rPr>
                <w:b/>
                <w:bCs/>
                <w:sz w:val="22"/>
                <w:szCs w:val="22"/>
              </w:rPr>
            </w:pPr>
            <w:r w:rsidRPr="000A5F16">
              <w:rPr>
                <w:b/>
                <w:bCs/>
                <w:sz w:val="22"/>
                <w:szCs w:val="22"/>
              </w:rPr>
              <w:t>Fuel Type</w:t>
            </w:r>
          </w:p>
        </w:tc>
        <w:tc>
          <w:tcPr>
            <w:tcW w:w="2681" w:type="dxa"/>
          </w:tcPr>
          <w:p w14:paraId="6C34424B" w14:textId="77777777" w:rsidR="002831F2" w:rsidRPr="000A5F16" w:rsidRDefault="002831F2" w:rsidP="00C3245E">
            <w:pPr>
              <w:rPr>
                <w:b/>
                <w:bCs/>
                <w:sz w:val="22"/>
                <w:szCs w:val="22"/>
              </w:rPr>
            </w:pPr>
            <w:r w:rsidRPr="000A5F16">
              <w:rPr>
                <w:b/>
                <w:bCs/>
                <w:sz w:val="22"/>
                <w:szCs w:val="22"/>
              </w:rPr>
              <w:t xml:space="preserve">Average </w:t>
            </w:r>
            <w:proofErr w:type="spellStart"/>
            <w:r w:rsidRPr="000A5F16">
              <w:rPr>
                <w:b/>
                <w:bCs/>
                <w:sz w:val="22"/>
                <w:szCs w:val="22"/>
              </w:rPr>
              <w:t>ct</w:t>
            </w:r>
            <w:proofErr w:type="spellEnd"/>
            <w:r w:rsidRPr="000A5F16">
              <w:rPr>
                <w:b/>
                <w:bCs/>
                <w:sz w:val="22"/>
                <w:szCs w:val="22"/>
              </w:rPr>
              <w:t>/l FY2018/19</w:t>
            </w:r>
          </w:p>
        </w:tc>
      </w:tr>
      <w:tr w:rsidR="002831F2" w:rsidRPr="000A5F16" w14:paraId="2BA54524" w14:textId="77777777" w:rsidTr="00C3245E">
        <w:trPr>
          <w:jc w:val="center"/>
        </w:trPr>
        <w:tc>
          <w:tcPr>
            <w:tcW w:w="1850" w:type="dxa"/>
          </w:tcPr>
          <w:p w14:paraId="50DF096D" w14:textId="77777777" w:rsidR="002831F2" w:rsidRPr="000A5F16" w:rsidRDefault="002831F2" w:rsidP="00C3245E">
            <w:pPr>
              <w:rPr>
                <w:sz w:val="22"/>
                <w:szCs w:val="22"/>
              </w:rPr>
            </w:pPr>
            <w:r w:rsidRPr="000A5F16">
              <w:rPr>
                <w:sz w:val="22"/>
                <w:szCs w:val="22"/>
              </w:rPr>
              <w:t>Petrol</w:t>
            </w:r>
          </w:p>
        </w:tc>
        <w:tc>
          <w:tcPr>
            <w:tcW w:w="2681" w:type="dxa"/>
          </w:tcPr>
          <w:p w14:paraId="1779830D" w14:textId="77777777" w:rsidR="002831F2" w:rsidRPr="000A5F16" w:rsidRDefault="002831F2" w:rsidP="00C3245E">
            <w:pPr>
              <w:rPr>
                <w:sz w:val="22"/>
                <w:szCs w:val="22"/>
              </w:rPr>
            </w:pPr>
            <w:r w:rsidRPr="003564D8">
              <w:rPr>
                <w:sz w:val="22"/>
                <w:szCs w:val="22"/>
              </w:rPr>
              <w:t>192.16</w:t>
            </w:r>
          </w:p>
        </w:tc>
      </w:tr>
      <w:tr w:rsidR="002831F2" w:rsidRPr="000A5F16" w14:paraId="7AD97B29" w14:textId="77777777" w:rsidTr="00C3245E">
        <w:trPr>
          <w:jc w:val="center"/>
        </w:trPr>
        <w:tc>
          <w:tcPr>
            <w:tcW w:w="1850" w:type="dxa"/>
          </w:tcPr>
          <w:p w14:paraId="7E5A517D" w14:textId="77777777" w:rsidR="002831F2" w:rsidRPr="000A5F16" w:rsidRDefault="002831F2" w:rsidP="00C3245E">
            <w:pPr>
              <w:rPr>
                <w:sz w:val="22"/>
                <w:szCs w:val="22"/>
              </w:rPr>
            </w:pPr>
            <w:r w:rsidRPr="000A5F16">
              <w:rPr>
                <w:sz w:val="22"/>
                <w:szCs w:val="22"/>
              </w:rPr>
              <w:t>Diesel</w:t>
            </w:r>
          </w:p>
        </w:tc>
        <w:tc>
          <w:tcPr>
            <w:tcW w:w="2681" w:type="dxa"/>
          </w:tcPr>
          <w:p w14:paraId="69F51953" w14:textId="77777777" w:rsidR="002831F2" w:rsidRPr="000A5F16" w:rsidRDefault="002831F2" w:rsidP="00C3245E">
            <w:pPr>
              <w:rPr>
                <w:sz w:val="22"/>
                <w:szCs w:val="22"/>
              </w:rPr>
            </w:pPr>
            <w:r w:rsidRPr="000A5F16">
              <w:rPr>
                <w:sz w:val="22"/>
                <w:szCs w:val="22"/>
              </w:rPr>
              <w:t xml:space="preserve">103.50 </w:t>
            </w:r>
          </w:p>
        </w:tc>
      </w:tr>
    </w:tbl>
    <w:p w14:paraId="0456D753" w14:textId="77777777" w:rsidR="002831F2" w:rsidRDefault="002831F2" w:rsidP="002831F2">
      <w:pPr>
        <w:spacing w:before="120" w:after="120" w:line="276" w:lineRule="auto"/>
        <w:jc w:val="both"/>
      </w:pPr>
      <w:r>
        <w:t>Multiplying these prices with the national fuel use in litres equates to a national fuel sales of:</w:t>
      </w:r>
    </w:p>
    <w:p w14:paraId="128F2F59" w14:textId="77777777" w:rsidR="002831F2" w:rsidRPr="003564D8" w:rsidRDefault="002831F2" w:rsidP="002831F2">
      <w:pPr>
        <w:pStyle w:val="ListParagraph"/>
        <w:numPr>
          <w:ilvl w:val="0"/>
          <w:numId w:val="2"/>
        </w:numPr>
        <w:spacing w:after="120" w:line="276" w:lineRule="auto"/>
        <w:ind w:left="714" w:hanging="357"/>
        <w:jc w:val="center"/>
        <w:rPr>
          <w:rFonts w:ascii="Times New Roman" w:hAnsi="Times New Roman" w:cs="Times New Roman"/>
        </w:rPr>
      </w:pPr>
      <w:r w:rsidRPr="003564D8">
        <w:rPr>
          <w:rFonts w:ascii="Times New Roman" w:hAnsi="Times New Roman" w:cs="Times New Roman"/>
        </w:rPr>
        <w:t>3,210,430,839 litres of petrol*1.9216$/l = $6,169,163,900 (petrol)</w:t>
      </w:r>
    </w:p>
    <w:p w14:paraId="1A18128C" w14:textId="77777777" w:rsidR="002831F2" w:rsidRPr="003564D8" w:rsidRDefault="002831F2" w:rsidP="002831F2">
      <w:pPr>
        <w:pStyle w:val="ListParagraph"/>
        <w:numPr>
          <w:ilvl w:val="0"/>
          <w:numId w:val="2"/>
        </w:numPr>
        <w:spacing w:before="120" w:after="120" w:line="276" w:lineRule="auto"/>
        <w:ind w:left="714" w:hanging="357"/>
        <w:jc w:val="center"/>
        <w:rPr>
          <w:rFonts w:ascii="Times New Roman" w:hAnsi="Times New Roman" w:cs="Times New Roman"/>
          <w:lang w:val="de-DE"/>
        </w:rPr>
      </w:pPr>
      <w:r w:rsidRPr="003564D8">
        <w:rPr>
          <w:rFonts w:ascii="Times New Roman" w:hAnsi="Times New Roman" w:cs="Times New Roman"/>
          <w:lang w:val="de-DE"/>
        </w:rPr>
        <w:t>3,620,282,649litres of diesel*1.0350$/l = $3,746,992,542 (diesel)</w:t>
      </w:r>
    </w:p>
    <w:p w14:paraId="288C3497" w14:textId="77777777" w:rsidR="002831F2" w:rsidRDefault="002831F2" w:rsidP="002831F2">
      <w:pPr>
        <w:spacing w:after="120" w:line="276" w:lineRule="auto"/>
      </w:pPr>
      <w:r w:rsidRPr="008234FF">
        <w:t>In other words, the national share</w:t>
      </w:r>
      <w:r>
        <w:t xml:space="preserve"> of fuel sales is </w:t>
      </w:r>
      <w:r w:rsidRPr="008234FF">
        <w:rPr>
          <w:b/>
          <w:bCs/>
        </w:rPr>
        <w:t>63% for petrol</w:t>
      </w:r>
      <w:r>
        <w:t xml:space="preserve"> and </w:t>
      </w:r>
      <w:r w:rsidRPr="008234FF">
        <w:rPr>
          <w:b/>
          <w:bCs/>
        </w:rPr>
        <w:t>37% for diesel</w:t>
      </w:r>
      <w:r>
        <w:t>.</w:t>
      </w:r>
    </w:p>
    <w:p w14:paraId="25CA5362" w14:textId="77777777" w:rsidR="002831F2" w:rsidRDefault="002831F2" w:rsidP="002831F2">
      <w:pPr>
        <w:spacing w:before="120" w:after="120" w:line="276" w:lineRule="auto"/>
        <w:jc w:val="both"/>
      </w:pPr>
      <w:r>
        <w:t xml:space="preserve">The next step uses </w:t>
      </w:r>
      <w:proofErr w:type="spellStart"/>
      <w:r>
        <w:t>StatNZ’s</w:t>
      </w:r>
      <w:proofErr w:type="spellEnd"/>
      <w:r>
        <w:t xml:space="preserve"> fuel sales data and applies the aforementioned share of diesel and petrol sales (assuming that the national share is a good approximation to the regional share). This is reflected in the following table:</w:t>
      </w:r>
    </w:p>
    <w:tbl>
      <w:tblPr>
        <w:tblStyle w:val="TableGrid"/>
        <w:tblW w:w="9067" w:type="dxa"/>
        <w:tblLook w:val="04A0" w:firstRow="1" w:lastRow="0" w:firstColumn="1" w:lastColumn="0" w:noHBand="0" w:noVBand="1"/>
      </w:tblPr>
      <w:tblGrid>
        <w:gridCol w:w="1555"/>
        <w:gridCol w:w="2693"/>
        <w:gridCol w:w="2268"/>
        <w:gridCol w:w="2551"/>
      </w:tblGrid>
      <w:tr w:rsidR="002831F2" w:rsidRPr="000A5F16" w14:paraId="51EDC0CB" w14:textId="77777777" w:rsidTr="00C3245E">
        <w:trPr>
          <w:trHeight w:val="280"/>
        </w:trPr>
        <w:tc>
          <w:tcPr>
            <w:tcW w:w="1555" w:type="dxa"/>
            <w:noWrap/>
          </w:tcPr>
          <w:p w14:paraId="5DED97DD" w14:textId="77777777" w:rsidR="002831F2" w:rsidRPr="000A5F16" w:rsidRDefault="002831F2" w:rsidP="00C3245E">
            <w:pPr>
              <w:rPr>
                <w:b/>
                <w:bCs/>
                <w:sz w:val="22"/>
                <w:szCs w:val="22"/>
              </w:rPr>
            </w:pPr>
            <w:r w:rsidRPr="000A5F16">
              <w:rPr>
                <w:b/>
                <w:bCs/>
                <w:sz w:val="22"/>
                <w:szCs w:val="22"/>
              </w:rPr>
              <w:t>Year and Quarter</w:t>
            </w:r>
          </w:p>
        </w:tc>
        <w:tc>
          <w:tcPr>
            <w:tcW w:w="2693" w:type="dxa"/>
            <w:noWrap/>
          </w:tcPr>
          <w:p w14:paraId="7EE7DB23" w14:textId="77777777" w:rsidR="002831F2" w:rsidRPr="000A5F16" w:rsidRDefault="002831F2" w:rsidP="00C3245E">
            <w:pPr>
              <w:rPr>
                <w:b/>
                <w:bCs/>
                <w:sz w:val="22"/>
                <w:szCs w:val="22"/>
              </w:rPr>
            </w:pPr>
            <w:proofErr w:type="spellStart"/>
            <w:r w:rsidRPr="000A5F16">
              <w:rPr>
                <w:b/>
                <w:bCs/>
                <w:sz w:val="22"/>
                <w:szCs w:val="22"/>
              </w:rPr>
              <w:t>StatNZ</w:t>
            </w:r>
            <w:proofErr w:type="spellEnd"/>
            <w:r w:rsidRPr="000A5F16">
              <w:rPr>
                <w:b/>
                <w:bCs/>
                <w:sz w:val="22"/>
                <w:szCs w:val="22"/>
              </w:rPr>
              <w:t xml:space="preserve"> Dunedin City fuel sales in $</w:t>
            </w:r>
          </w:p>
        </w:tc>
        <w:tc>
          <w:tcPr>
            <w:tcW w:w="2268" w:type="dxa"/>
            <w:noWrap/>
          </w:tcPr>
          <w:p w14:paraId="1FCED676" w14:textId="77777777" w:rsidR="002831F2" w:rsidRPr="000A5F16" w:rsidRDefault="002831F2" w:rsidP="00C3245E">
            <w:pPr>
              <w:rPr>
                <w:b/>
                <w:bCs/>
                <w:sz w:val="22"/>
                <w:szCs w:val="22"/>
              </w:rPr>
            </w:pPr>
            <w:r w:rsidRPr="000A5F16">
              <w:rPr>
                <w:b/>
                <w:bCs/>
                <w:sz w:val="22"/>
                <w:szCs w:val="22"/>
              </w:rPr>
              <w:t>Diesel sales (37%) in $ for Dunedin City</w:t>
            </w:r>
          </w:p>
        </w:tc>
        <w:tc>
          <w:tcPr>
            <w:tcW w:w="2551" w:type="dxa"/>
            <w:noWrap/>
          </w:tcPr>
          <w:p w14:paraId="5D063360" w14:textId="77777777" w:rsidR="002831F2" w:rsidRPr="000A5F16" w:rsidRDefault="002831F2" w:rsidP="00C3245E">
            <w:pPr>
              <w:rPr>
                <w:b/>
                <w:bCs/>
                <w:sz w:val="22"/>
                <w:szCs w:val="22"/>
              </w:rPr>
            </w:pPr>
            <w:r w:rsidRPr="000A5F16">
              <w:rPr>
                <w:b/>
                <w:bCs/>
                <w:sz w:val="22"/>
                <w:szCs w:val="22"/>
              </w:rPr>
              <w:t>Petrol sales (63%) in $ for Dunedin City</w:t>
            </w:r>
          </w:p>
        </w:tc>
      </w:tr>
      <w:tr w:rsidR="002831F2" w:rsidRPr="000A5F16" w14:paraId="480537F1" w14:textId="77777777" w:rsidTr="00C3245E">
        <w:trPr>
          <w:trHeight w:val="280"/>
        </w:trPr>
        <w:tc>
          <w:tcPr>
            <w:tcW w:w="1555" w:type="dxa"/>
            <w:noWrap/>
            <w:hideMark/>
          </w:tcPr>
          <w:p w14:paraId="2909FA33" w14:textId="77777777" w:rsidR="002831F2" w:rsidRPr="000A5F16" w:rsidRDefault="002831F2" w:rsidP="00C3245E">
            <w:pPr>
              <w:rPr>
                <w:sz w:val="22"/>
                <w:szCs w:val="22"/>
              </w:rPr>
            </w:pPr>
            <w:r w:rsidRPr="000A5F16">
              <w:rPr>
                <w:sz w:val="22"/>
                <w:szCs w:val="22"/>
              </w:rPr>
              <w:t>2018 Q3</w:t>
            </w:r>
          </w:p>
        </w:tc>
        <w:tc>
          <w:tcPr>
            <w:tcW w:w="2693" w:type="dxa"/>
            <w:noWrap/>
            <w:hideMark/>
          </w:tcPr>
          <w:p w14:paraId="7ED030D1" w14:textId="77777777" w:rsidR="002831F2" w:rsidRPr="000A5F16" w:rsidRDefault="002831F2" w:rsidP="00C3245E">
            <w:pPr>
              <w:jc w:val="right"/>
              <w:rPr>
                <w:sz w:val="22"/>
                <w:szCs w:val="22"/>
              </w:rPr>
            </w:pPr>
            <w:r w:rsidRPr="000A5F16">
              <w:rPr>
                <w:sz w:val="22"/>
                <w:szCs w:val="22"/>
              </w:rPr>
              <w:t xml:space="preserve">43,003,380 </w:t>
            </w:r>
          </w:p>
        </w:tc>
        <w:tc>
          <w:tcPr>
            <w:tcW w:w="2268" w:type="dxa"/>
            <w:noWrap/>
            <w:hideMark/>
          </w:tcPr>
          <w:p w14:paraId="13EDCE45" w14:textId="77777777" w:rsidR="002831F2" w:rsidRPr="000A5F16" w:rsidRDefault="002831F2" w:rsidP="00C3245E">
            <w:pPr>
              <w:jc w:val="right"/>
              <w:rPr>
                <w:sz w:val="22"/>
                <w:szCs w:val="22"/>
              </w:rPr>
            </w:pPr>
            <w:r w:rsidRPr="000A5F16">
              <w:rPr>
                <w:sz w:val="22"/>
                <w:szCs w:val="22"/>
              </w:rPr>
              <w:t>15,911,25</w:t>
            </w:r>
            <w:r>
              <w:rPr>
                <w:sz w:val="22"/>
                <w:szCs w:val="22"/>
              </w:rPr>
              <w:t>1</w:t>
            </w:r>
            <w:r w:rsidRPr="000A5F16">
              <w:rPr>
                <w:sz w:val="22"/>
                <w:szCs w:val="22"/>
              </w:rPr>
              <w:t xml:space="preserve"> </w:t>
            </w:r>
          </w:p>
        </w:tc>
        <w:tc>
          <w:tcPr>
            <w:tcW w:w="2551" w:type="dxa"/>
            <w:noWrap/>
            <w:hideMark/>
          </w:tcPr>
          <w:p w14:paraId="250EE8C9" w14:textId="77777777" w:rsidR="002831F2" w:rsidRPr="000A5F16" w:rsidRDefault="002831F2" w:rsidP="00C3245E">
            <w:pPr>
              <w:jc w:val="right"/>
              <w:rPr>
                <w:sz w:val="22"/>
                <w:szCs w:val="22"/>
              </w:rPr>
            </w:pPr>
            <w:r w:rsidRPr="000A5F16">
              <w:rPr>
                <w:sz w:val="22"/>
                <w:szCs w:val="22"/>
              </w:rPr>
              <w:t>27,092,129.4</w:t>
            </w:r>
          </w:p>
        </w:tc>
      </w:tr>
      <w:tr w:rsidR="002831F2" w:rsidRPr="000A5F16" w14:paraId="2FD976D0" w14:textId="77777777" w:rsidTr="00C3245E">
        <w:trPr>
          <w:trHeight w:val="280"/>
        </w:trPr>
        <w:tc>
          <w:tcPr>
            <w:tcW w:w="1555" w:type="dxa"/>
            <w:noWrap/>
            <w:hideMark/>
          </w:tcPr>
          <w:p w14:paraId="0B3FF8FD" w14:textId="77777777" w:rsidR="002831F2" w:rsidRPr="000A5F16" w:rsidRDefault="002831F2" w:rsidP="00C3245E">
            <w:pPr>
              <w:rPr>
                <w:sz w:val="22"/>
                <w:szCs w:val="22"/>
              </w:rPr>
            </w:pPr>
            <w:r w:rsidRPr="000A5F16">
              <w:rPr>
                <w:sz w:val="22"/>
                <w:szCs w:val="22"/>
              </w:rPr>
              <w:t>2018 Q4</w:t>
            </w:r>
          </w:p>
        </w:tc>
        <w:tc>
          <w:tcPr>
            <w:tcW w:w="2693" w:type="dxa"/>
            <w:noWrap/>
            <w:hideMark/>
          </w:tcPr>
          <w:p w14:paraId="303FAC9F" w14:textId="77777777" w:rsidR="002831F2" w:rsidRPr="000A5F16" w:rsidRDefault="002831F2" w:rsidP="00C3245E">
            <w:pPr>
              <w:jc w:val="right"/>
              <w:rPr>
                <w:sz w:val="22"/>
                <w:szCs w:val="22"/>
              </w:rPr>
            </w:pPr>
            <w:r w:rsidRPr="000A5F16">
              <w:rPr>
                <w:sz w:val="22"/>
                <w:szCs w:val="22"/>
              </w:rPr>
              <w:t xml:space="preserve">34,968,881 </w:t>
            </w:r>
          </w:p>
        </w:tc>
        <w:tc>
          <w:tcPr>
            <w:tcW w:w="2268" w:type="dxa"/>
            <w:noWrap/>
            <w:hideMark/>
          </w:tcPr>
          <w:p w14:paraId="15CE17C5" w14:textId="77777777" w:rsidR="002831F2" w:rsidRPr="000A5F16" w:rsidRDefault="002831F2" w:rsidP="00C3245E">
            <w:pPr>
              <w:jc w:val="right"/>
              <w:rPr>
                <w:sz w:val="22"/>
                <w:szCs w:val="22"/>
              </w:rPr>
            </w:pPr>
            <w:r w:rsidRPr="000A5F16">
              <w:rPr>
                <w:sz w:val="22"/>
                <w:szCs w:val="22"/>
              </w:rPr>
              <w:t>12,938,48</w:t>
            </w:r>
            <w:r>
              <w:rPr>
                <w:sz w:val="22"/>
                <w:szCs w:val="22"/>
              </w:rPr>
              <w:t>6</w:t>
            </w:r>
          </w:p>
        </w:tc>
        <w:tc>
          <w:tcPr>
            <w:tcW w:w="2551" w:type="dxa"/>
            <w:noWrap/>
            <w:hideMark/>
          </w:tcPr>
          <w:p w14:paraId="1E72A966" w14:textId="77777777" w:rsidR="002831F2" w:rsidRPr="000A5F16" w:rsidRDefault="002831F2" w:rsidP="00C3245E">
            <w:pPr>
              <w:jc w:val="right"/>
              <w:rPr>
                <w:sz w:val="22"/>
                <w:szCs w:val="22"/>
              </w:rPr>
            </w:pPr>
            <w:r w:rsidRPr="000A5F16">
              <w:rPr>
                <w:sz w:val="22"/>
                <w:szCs w:val="22"/>
              </w:rPr>
              <w:t>22,030,395</w:t>
            </w:r>
          </w:p>
        </w:tc>
      </w:tr>
      <w:tr w:rsidR="002831F2" w:rsidRPr="000A5F16" w14:paraId="711D5956" w14:textId="77777777" w:rsidTr="00C3245E">
        <w:trPr>
          <w:trHeight w:val="280"/>
        </w:trPr>
        <w:tc>
          <w:tcPr>
            <w:tcW w:w="1555" w:type="dxa"/>
            <w:noWrap/>
            <w:hideMark/>
          </w:tcPr>
          <w:p w14:paraId="44AFCB59" w14:textId="77777777" w:rsidR="002831F2" w:rsidRPr="000A5F16" w:rsidRDefault="002831F2" w:rsidP="00C3245E">
            <w:pPr>
              <w:rPr>
                <w:sz w:val="22"/>
                <w:szCs w:val="22"/>
              </w:rPr>
            </w:pPr>
            <w:r w:rsidRPr="000A5F16">
              <w:rPr>
                <w:sz w:val="22"/>
                <w:szCs w:val="22"/>
              </w:rPr>
              <w:t>2019 Q1</w:t>
            </w:r>
          </w:p>
        </w:tc>
        <w:tc>
          <w:tcPr>
            <w:tcW w:w="2693" w:type="dxa"/>
            <w:noWrap/>
            <w:hideMark/>
          </w:tcPr>
          <w:p w14:paraId="2719019B" w14:textId="77777777" w:rsidR="002831F2" w:rsidRPr="000A5F16" w:rsidRDefault="002831F2" w:rsidP="00C3245E">
            <w:pPr>
              <w:jc w:val="right"/>
              <w:rPr>
                <w:sz w:val="22"/>
                <w:szCs w:val="22"/>
              </w:rPr>
            </w:pPr>
            <w:r w:rsidRPr="000A5F16">
              <w:rPr>
                <w:sz w:val="22"/>
                <w:szCs w:val="22"/>
              </w:rPr>
              <w:t xml:space="preserve">37,722,381 </w:t>
            </w:r>
          </w:p>
        </w:tc>
        <w:tc>
          <w:tcPr>
            <w:tcW w:w="2268" w:type="dxa"/>
            <w:noWrap/>
            <w:hideMark/>
          </w:tcPr>
          <w:p w14:paraId="055F5CD9" w14:textId="77777777" w:rsidR="002831F2" w:rsidRPr="000A5F16" w:rsidRDefault="002831F2" w:rsidP="00C3245E">
            <w:pPr>
              <w:jc w:val="right"/>
              <w:rPr>
                <w:sz w:val="22"/>
                <w:szCs w:val="22"/>
              </w:rPr>
            </w:pPr>
            <w:r w:rsidRPr="000A5F16">
              <w:rPr>
                <w:sz w:val="22"/>
                <w:szCs w:val="22"/>
              </w:rPr>
              <w:t>13,957,28</w:t>
            </w:r>
            <w:r>
              <w:rPr>
                <w:sz w:val="22"/>
                <w:szCs w:val="22"/>
              </w:rPr>
              <w:t>1</w:t>
            </w:r>
          </w:p>
        </w:tc>
        <w:tc>
          <w:tcPr>
            <w:tcW w:w="2551" w:type="dxa"/>
            <w:noWrap/>
            <w:hideMark/>
          </w:tcPr>
          <w:p w14:paraId="36799386" w14:textId="77777777" w:rsidR="002831F2" w:rsidRPr="000A5F16" w:rsidRDefault="002831F2" w:rsidP="00C3245E">
            <w:pPr>
              <w:jc w:val="right"/>
              <w:rPr>
                <w:sz w:val="22"/>
                <w:szCs w:val="22"/>
              </w:rPr>
            </w:pPr>
            <w:r w:rsidRPr="000A5F16">
              <w:rPr>
                <w:sz w:val="22"/>
                <w:szCs w:val="22"/>
              </w:rPr>
              <w:t>23,765,100</w:t>
            </w:r>
          </w:p>
        </w:tc>
      </w:tr>
      <w:tr w:rsidR="002831F2" w:rsidRPr="000A5F16" w14:paraId="75637190" w14:textId="77777777" w:rsidTr="00C3245E">
        <w:trPr>
          <w:trHeight w:val="280"/>
        </w:trPr>
        <w:tc>
          <w:tcPr>
            <w:tcW w:w="1555" w:type="dxa"/>
            <w:noWrap/>
            <w:hideMark/>
          </w:tcPr>
          <w:p w14:paraId="0DF93A65" w14:textId="77777777" w:rsidR="002831F2" w:rsidRPr="000A5F16" w:rsidRDefault="002831F2" w:rsidP="00C3245E">
            <w:pPr>
              <w:rPr>
                <w:sz w:val="22"/>
                <w:szCs w:val="22"/>
              </w:rPr>
            </w:pPr>
            <w:r w:rsidRPr="000A5F16">
              <w:rPr>
                <w:sz w:val="22"/>
                <w:szCs w:val="22"/>
              </w:rPr>
              <w:t>2019 Q2</w:t>
            </w:r>
          </w:p>
        </w:tc>
        <w:tc>
          <w:tcPr>
            <w:tcW w:w="2693" w:type="dxa"/>
            <w:noWrap/>
            <w:hideMark/>
          </w:tcPr>
          <w:p w14:paraId="2D41FBCD" w14:textId="77777777" w:rsidR="002831F2" w:rsidRPr="000A5F16" w:rsidRDefault="002831F2" w:rsidP="00C3245E">
            <w:pPr>
              <w:jc w:val="right"/>
              <w:rPr>
                <w:sz w:val="22"/>
                <w:szCs w:val="22"/>
              </w:rPr>
            </w:pPr>
            <w:r w:rsidRPr="000A5F16">
              <w:rPr>
                <w:sz w:val="22"/>
                <w:szCs w:val="22"/>
              </w:rPr>
              <w:t xml:space="preserve">41,364,561 </w:t>
            </w:r>
          </w:p>
        </w:tc>
        <w:tc>
          <w:tcPr>
            <w:tcW w:w="2268" w:type="dxa"/>
            <w:noWrap/>
            <w:hideMark/>
          </w:tcPr>
          <w:p w14:paraId="5765A969" w14:textId="77777777" w:rsidR="002831F2" w:rsidRPr="000A5F16" w:rsidRDefault="002831F2" w:rsidP="00C3245E">
            <w:pPr>
              <w:jc w:val="right"/>
              <w:rPr>
                <w:sz w:val="22"/>
                <w:szCs w:val="22"/>
              </w:rPr>
            </w:pPr>
            <w:r w:rsidRPr="000A5F16">
              <w:rPr>
                <w:sz w:val="22"/>
                <w:szCs w:val="22"/>
              </w:rPr>
              <w:t>15,304,88</w:t>
            </w:r>
            <w:r>
              <w:rPr>
                <w:sz w:val="22"/>
                <w:szCs w:val="22"/>
              </w:rPr>
              <w:t>8</w:t>
            </w:r>
          </w:p>
        </w:tc>
        <w:tc>
          <w:tcPr>
            <w:tcW w:w="2551" w:type="dxa"/>
            <w:noWrap/>
            <w:hideMark/>
          </w:tcPr>
          <w:p w14:paraId="7220F4FD" w14:textId="77777777" w:rsidR="002831F2" w:rsidRPr="000A5F16" w:rsidRDefault="002831F2" w:rsidP="00C3245E">
            <w:pPr>
              <w:jc w:val="right"/>
              <w:rPr>
                <w:sz w:val="22"/>
                <w:szCs w:val="22"/>
              </w:rPr>
            </w:pPr>
            <w:r w:rsidRPr="000A5F16">
              <w:rPr>
                <w:sz w:val="22"/>
                <w:szCs w:val="22"/>
              </w:rPr>
              <w:t>26,059,673</w:t>
            </w:r>
          </w:p>
        </w:tc>
      </w:tr>
    </w:tbl>
    <w:p w14:paraId="030891A2" w14:textId="77777777" w:rsidR="002831F2" w:rsidRDefault="002831F2" w:rsidP="002831F2">
      <w:pPr>
        <w:spacing w:before="120" w:after="120" w:line="276" w:lineRule="auto"/>
        <w:jc w:val="both"/>
      </w:pPr>
      <w:r>
        <w:t>With this information generated, quarterly fuel prices are applied to convert fuel sales from $ to litres by simply dividing diesel and petrol sales ($) by the fuel prices ($/litre). This equates to:</w:t>
      </w:r>
    </w:p>
    <w:tbl>
      <w:tblPr>
        <w:tblStyle w:val="TableGrid"/>
        <w:tblW w:w="9067" w:type="dxa"/>
        <w:tblLook w:val="04A0" w:firstRow="1" w:lastRow="0" w:firstColumn="1" w:lastColumn="0" w:noHBand="0" w:noVBand="1"/>
      </w:tblPr>
      <w:tblGrid>
        <w:gridCol w:w="986"/>
        <w:gridCol w:w="1608"/>
        <w:gridCol w:w="1371"/>
        <w:gridCol w:w="1133"/>
        <w:gridCol w:w="993"/>
        <w:gridCol w:w="1417"/>
        <w:gridCol w:w="1559"/>
      </w:tblGrid>
      <w:tr w:rsidR="002831F2" w:rsidRPr="000A5F16" w14:paraId="6914014C" w14:textId="77777777" w:rsidTr="00C3245E">
        <w:trPr>
          <w:trHeight w:val="280"/>
        </w:trPr>
        <w:tc>
          <w:tcPr>
            <w:tcW w:w="986" w:type="dxa"/>
          </w:tcPr>
          <w:p w14:paraId="7AC7B21D" w14:textId="77777777" w:rsidR="002831F2" w:rsidRPr="000A5F16" w:rsidRDefault="002831F2" w:rsidP="00C3245E">
            <w:pPr>
              <w:rPr>
                <w:b/>
                <w:bCs/>
                <w:sz w:val="22"/>
                <w:szCs w:val="22"/>
              </w:rPr>
            </w:pPr>
            <w:r w:rsidRPr="000A5F16">
              <w:rPr>
                <w:b/>
                <w:bCs/>
                <w:sz w:val="22"/>
                <w:szCs w:val="22"/>
              </w:rPr>
              <w:t>Year and Quarter</w:t>
            </w:r>
          </w:p>
        </w:tc>
        <w:tc>
          <w:tcPr>
            <w:tcW w:w="1608" w:type="dxa"/>
            <w:noWrap/>
          </w:tcPr>
          <w:p w14:paraId="5A090091" w14:textId="77777777" w:rsidR="002831F2" w:rsidRPr="000A5F16" w:rsidRDefault="002831F2" w:rsidP="00C3245E">
            <w:pPr>
              <w:rPr>
                <w:sz w:val="22"/>
                <w:szCs w:val="22"/>
              </w:rPr>
            </w:pPr>
            <w:r w:rsidRPr="000A5F16">
              <w:rPr>
                <w:b/>
                <w:bCs/>
                <w:sz w:val="22"/>
                <w:szCs w:val="22"/>
              </w:rPr>
              <w:t>Diesel sales in $ for Dunedin City</w:t>
            </w:r>
          </w:p>
        </w:tc>
        <w:tc>
          <w:tcPr>
            <w:tcW w:w="1371" w:type="dxa"/>
            <w:noWrap/>
          </w:tcPr>
          <w:p w14:paraId="2667992A" w14:textId="77777777" w:rsidR="002831F2" w:rsidRPr="000A5F16" w:rsidRDefault="002831F2" w:rsidP="00C3245E">
            <w:pPr>
              <w:rPr>
                <w:sz w:val="22"/>
                <w:szCs w:val="22"/>
              </w:rPr>
            </w:pPr>
            <w:r w:rsidRPr="000A5F16">
              <w:rPr>
                <w:b/>
                <w:bCs/>
                <w:sz w:val="22"/>
                <w:szCs w:val="22"/>
              </w:rPr>
              <w:t>Petrol sales in $ for Dunedin City</w:t>
            </w:r>
          </w:p>
        </w:tc>
        <w:tc>
          <w:tcPr>
            <w:tcW w:w="1133" w:type="dxa"/>
            <w:noWrap/>
          </w:tcPr>
          <w:p w14:paraId="6F6B959B" w14:textId="77777777" w:rsidR="002831F2" w:rsidRPr="000A5F16" w:rsidRDefault="002831F2" w:rsidP="00C3245E">
            <w:pPr>
              <w:rPr>
                <w:b/>
                <w:bCs/>
                <w:sz w:val="22"/>
                <w:szCs w:val="22"/>
              </w:rPr>
            </w:pPr>
            <w:r w:rsidRPr="000A5F16">
              <w:rPr>
                <w:b/>
                <w:bCs/>
                <w:sz w:val="22"/>
                <w:szCs w:val="22"/>
              </w:rPr>
              <w:t>Diesel price in $/litre</w:t>
            </w:r>
          </w:p>
        </w:tc>
        <w:tc>
          <w:tcPr>
            <w:tcW w:w="993" w:type="dxa"/>
            <w:noWrap/>
          </w:tcPr>
          <w:p w14:paraId="0D5741BD" w14:textId="77777777" w:rsidR="002831F2" w:rsidRPr="000A5F16" w:rsidRDefault="002831F2" w:rsidP="00C3245E">
            <w:pPr>
              <w:rPr>
                <w:b/>
                <w:bCs/>
                <w:sz w:val="22"/>
                <w:szCs w:val="22"/>
              </w:rPr>
            </w:pPr>
            <w:r w:rsidRPr="000A5F16">
              <w:rPr>
                <w:b/>
                <w:bCs/>
                <w:sz w:val="22"/>
                <w:szCs w:val="22"/>
              </w:rPr>
              <w:t>Petrol price in $/litre</w:t>
            </w:r>
          </w:p>
        </w:tc>
        <w:tc>
          <w:tcPr>
            <w:tcW w:w="1417" w:type="dxa"/>
            <w:noWrap/>
          </w:tcPr>
          <w:p w14:paraId="6781AED3" w14:textId="77777777" w:rsidR="002831F2" w:rsidRPr="000A5F16" w:rsidRDefault="002831F2" w:rsidP="00C3245E">
            <w:pPr>
              <w:rPr>
                <w:b/>
                <w:bCs/>
                <w:sz w:val="22"/>
                <w:szCs w:val="22"/>
              </w:rPr>
            </w:pPr>
            <w:r w:rsidRPr="000A5F16">
              <w:rPr>
                <w:b/>
                <w:bCs/>
                <w:sz w:val="22"/>
                <w:szCs w:val="22"/>
              </w:rPr>
              <w:t>Litres of Diesel</w:t>
            </w:r>
          </w:p>
        </w:tc>
        <w:tc>
          <w:tcPr>
            <w:tcW w:w="1559" w:type="dxa"/>
            <w:noWrap/>
          </w:tcPr>
          <w:p w14:paraId="751CB335" w14:textId="77777777" w:rsidR="002831F2" w:rsidRPr="000A5F16" w:rsidRDefault="002831F2" w:rsidP="00C3245E">
            <w:pPr>
              <w:rPr>
                <w:b/>
                <w:bCs/>
                <w:sz w:val="22"/>
                <w:szCs w:val="22"/>
              </w:rPr>
            </w:pPr>
            <w:r w:rsidRPr="000A5F16">
              <w:rPr>
                <w:b/>
                <w:bCs/>
                <w:sz w:val="22"/>
                <w:szCs w:val="22"/>
              </w:rPr>
              <w:t xml:space="preserve">Litres of Petrol </w:t>
            </w:r>
          </w:p>
        </w:tc>
      </w:tr>
      <w:tr w:rsidR="002831F2" w:rsidRPr="000A5F16" w14:paraId="6ECB5725" w14:textId="77777777" w:rsidTr="00C3245E">
        <w:trPr>
          <w:trHeight w:val="280"/>
        </w:trPr>
        <w:tc>
          <w:tcPr>
            <w:tcW w:w="986" w:type="dxa"/>
          </w:tcPr>
          <w:p w14:paraId="3F82A2FE" w14:textId="77777777" w:rsidR="002831F2" w:rsidRPr="000A5F16" w:rsidRDefault="002831F2" w:rsidP="00C3245E">
            <w:pPr>
              <w:rPr>
                <w:sz w:val="22"/>
                <w:szCs w:val="22"/>
              </w:rPr>
            </w:pPr>
            <w:r w:rsidRPr="000A5F16">
              <w:rPr>
                <w:sz w:val="22"/>
                <w:szCs w:val="22"/>
              </w:rPr>
              <w:t>2018 Q3</w:t>
            </w:r>
          </w:p>
        </w:tc>
        <w:tc>
          <w:tcPr>
            <w:tcW w:w="1608" w:type="dxa"/>
            <w:noWrap/>
            <w:hideMark/>
          </w:tcPr>
          <w:p w14:paraId="11B3B0B6" w14:textId="77777777" w:rsidR="002831F2" w:rsidRPr="000A5F16" w:rsidRDefault="002831F2" w:rsidP="00C3245E">
            <w:pPr>
              <w:jc w:val="right"/>
              <w:rPr>
                <w:sz w:val="22"/>
                <w:szCs w:val="22"/>
              </w:rPr>
            </w:pPr>
            <w:r w:rsidRPr="000A5F16">
              <w:rPr>
                <w:sz w:val="22"/>
                <w:szCs w:val="22"/>
              </w:rPr>
              <w:t>15,911,25</w:t>
            </w:r>
            <w:r>
              <w:rPr>
                <w:sz w:val="22"/>
                <w:szCs w:val="22"/>
              </w:rPr>
              <w:t>1</w:t>
            </w:r>
            <w:r w:rsidRPr="000A5F16">
              <w:rPr>
                <w:sz w:val="22"/>
                <w:szCs w:val="22"/>
              </w:rPr>
              <w:t xml:space="preserve"> </w:t>
            </w:r>
          </w:p>
        </w:tc>
        <w:tc>
          <w:tcPr>
            <w:tcW w:w="1371" w:type="dxa"/>
            <w:noWrap/>
            <w:hideMark/>
          </w:tcPr>
          <w:p w14:paraId="358EDFB4" w14:textId="77777777" w:rsidR="002831F2" w:rsidRPr="000A5F16" w:rsidRDefault="002831F2" w:rsidP="00C3245E">
            <w:pPr>
              <w:jc w:val="right"/>
              <w:rPr>
                <w:sz w:val="22"/>
                <w:szCs w:val="22"/>
              </w:rPr>
            </w:pPr>
            <w:r w:rsidRPr="000A5F16">
              <w:rPr>
                <w:sz w:val="22"/>
                <w:szCs w:val="22"/>
              </w:rPr>
              <w:t>27,092,129.4</w:t>
            </w:r>
          </w:p>
        </w:tc>
        <w:tc>
          <w:tcPr>
            <w:tcW w:w="1133" w:type="dxa"/>
            <w:noWrap/>
            <w:hideMark/>
          </w:tcPr>
          <w:p w14:paraId="4528CEF6" w14:textId="77777777" w:rsidR="002831F2" w:rsidRPr="000A5F16" w:rsidRDefault="002831F2" w:rsidP="00C3245E">
            <w:pPr>
              <w:jc w:val="right"/>
              <w:rPr>
                <w:sz w:val="22"/>
                <w:szCs w:val="22"/>
              </w:rPr>
            </w:pPr>
            <w:r w:rsidRPr="000A5F16">
              <w:rPr>
                <w:sz w:val="22"/>
                <w:szCs w:val="22"/>
              </w:rPr>
              <w:t xml:space="preserve">1.1181 </w:t>
            </w:r>
          </w:p>
        </w:tc>
        <w:tc>
          <w:tcPr>
            <w:tcW w:w="993" w:type="dxa"/>
            <w:noWrap/>
            <w:hideMark/>
          </w:tcPr>
          <w:p w14:paraId="499893A6" w14:textId="77777777" w:rsidR="002831F2" w:rsidRPr="003564D8" w:rsidRDefault="002831F2" w:rsidP="00C3245E">
            <w:pPr>
              <w:jc w:val="right"/>
              <w:rPr>
                <w:sz w:val="22"/>
                <w:szCs w:val="22"/>
              </w:rPr>
            </w:pPr>
            <w:r w:rsidRPr="003564D8">
              <w:rPr>
                <w:sz w:val="22"/>
                <w:szCs w:val="22"/>
              </w:rPr>
              <w:t>1.9784</w:t>
            </w:r>
          </w:p>
        </w:tc>
        <w:tc>
          <w:tcPr>
            <w:tcW w:w="1417" w:type="dxa"/>
            <w:noWrap/>
            <w:hideMark/>
          </w:tcPr>
          <w:p w14:paraId="7D6530CD" w14:textId="77777777" w:rsidR="002831F2" w:rsidRPr="003564D8" w:rsidRDefault="002831F2" w:rsidP="00C3245E">
            <w:pPr>
              <w:jc w:val="right"/>
              <w:rPr>
                <w:sz w:val="22"/>
                <w:szCs w:val="22"/>
              </w:rPr>
            </w:pPr>
            <w:r w:rsidRPr="003564D8">
              <w:rPr>
                <w:sz w:val="22"/>
                <w:szCs w:val="22"/>
              </w:rPr>
              <w:t>14,230,615</w:t>
            </w:r>
          </w:p>
        </w:tc>
        <w:tc>
          <w:tcPr>
            <w:tcW w:w="1559" w:type="dxa"/>
            <w:noWrap/>
            <w:hideMark/>
          </w:tcPr>
          <w:p w14:paraId="2E0E1F16" w14:textId="77777777" w:rsidR="002831F2" w:rsidRPr="003564D8" w:rsidRDefault="002831F2" w:rsidP="00C3245E">
            <w:pPr>
              <w:jc w:val="right"/>
              <w:rPr>
                <w:sz w:val="22"/>
                <w:szCs w:val="22"/>
              </w:rPr>
            </w:pPr>
            <w:r w:rsidRPr="003564D8">
              <w:rPr>
                <w:sz w:val="22"/>
                <w:szCs w:val="22"/>
              </w:rPr>
              <w:t>13,693,959</w:t>
            </w:r>
          </w:p>
        </w:tc>
      </w:tr>
      <w:tr w:rsidR="002831F2" w:rsidRPr="000A5F16" w14:paraId="7A00F245" w14:textId="77777777" w:rsidTr="00C3245E">
        <w:trPr>
          <w:trHeight w:val="280"/>
        </w:trPr>
        <w:tc>
          <w:tcPr>
            <w:tcW w:w="986" w:type="dxa"/>
          </w:tcPr>
          <w:p w14:paraId="09DB2393" w14:textId="77777777" w:rsidR="002831F2" w:rsidRPr="000A5F16" w:rsidRDefault="002831F2" w:rsidP="00C3245E">
            <w:pPr>
              <w:rPr>
                <w:sz w:val="22"/>
                <w:szCs w:val="22"/>
              </w:rPr>
            </w:pPr>
            <w:r w:rsidRPr="000A5F16">
              <w:rPr>
                <w:sz w:val="22"/>
                <w:szCs w:val="22"/>
              </w:rPr>
              <w:t>2018 Q4</w:t>
            </w:r>
          </w:p>
        </w:tc>
        <w:tc>
          <w:tcPr>
            <w:tcW w:w="1608" w:type="dxa"/>
            <w:noWrap/>
            <w:hideMark/>
          </w:tcPr>
          <w:p w14:paraId="36F07F11" w14:textId="77777777" w:rsidR="002831F2" w:rsidRPr="000A5F16" w:rsidRDefault="002831F2" w:rsidP="00C3245E">
            <w:pPr>
              <w:jc w:val="right"/>
              <w:rPr>
                <w:sz w:val="22"/>
                <w:szCs w:val="22"/>
              </w:rPr>
            </w:pPr>
            <w:r w:rsidRPr="000A5F16">
              <w:rPr>
                <w:sz w:val="22"/>
                <w:szCs w:val="22"/>
              </w:rPr>
              <w:t>12,938,48</w:t>
            </w:r>
            <w:r>
              <w:rPr>
                <w:sz w:val="22"/>
                <w:szCs w:val="22"/>
              </w:rPr>
              <w:t>6</w:t>
            </w:r>
          </w:p>
        </w:tc>
        <w:tc>
          <w:tcPr>
            <w:tcW w:w="1371" w:type="dxa"/>
            <w:noWrap/>
            <w:hideMark/>
          </w:tcPr>
          <w:p w14:paraId="43477FA6" w14:textId="77777777" w:rsidR="002831F2" w:rsidRPr="000A5F16" w:rsidRDefault="002831F2" w:rsidP="00C3245E">
            <w:pPr>
              <w:jc w:val="right"/>
              <w:rPr>
                <w:sz w:val="22"/>
                <w:szCs w:val="22"/>
              </w:rPr>
            </w:pPr>
            <w:r w:rsidRPr="000A5F16">
              <w:rPr>
                <w:sz w:val="22"/>
                <w:szCs w:val="22"/>
              </w:rPr>
              <w:t>22,030,395</w:t>
            </w:r>
          </w:p>
        </w:tc>
        <w:tc>
          <w:tcPr>
            <w:tcW w:w="1133" w:type="dxa"/>
            <w:noWrap/>
            <w:hideMark/>
          </w:tcPr>
          <w:p w14:paraId="28F8E04B" w14:textId="77777777" w:rsidR="002831F2" w:rsidRPr="000A5F16" w:rsidRDefault="002831F2" w:rsidP="00C3245E">
            <w:pPr>
              <w:jc w:val="right"/>
              <w:rPr>
                <w:sz w:val="22"/>
                <w:szCs w:val="22"/>
              </w:rPr>
            </w:pPr>
            <w:r w:rsidRPr="000A5F16">
              <w:rPr>
                <w:sz w:val="22"/>
                <w:szCs w:val="22"/>
              </w:rPr>
              <w:t xml:space="preserve">1.0441 </w:t>
            </w:r>
          </w:p>
        </w:tc>
        <w:tc>
          <w:tcPr>
            <w:tcW w:w="993" w:type="dxa"/>
            <w:noWrap/>
            <w:hideMark/>
          </w:tcPr>
          <w:p w14:paraId="6EC160AE" w14:textId="77777777" w:rsidR="002831F2" w:rsidRPr="003564D8" w:rsidRDefault="002831F2" w:rsidP="00C3245E">
            <w:pPr>
              <w:jc w:val="right"/>
              <w:rPr>
                <w:sz w:val="22"/>
                <w:szCs w:val="22"/>
              </w:rPr>
            </w:pPr>
            <w:r w:rsidRPr="003564D8">
              <w:rPr>
                <w:sz w:val="22"/>
                <w:szCs w:val="22"/>
              </w:rPr>
              <w:t>1.9626</w:t>
            </w:r>
          </w:p>
        </w:tc>
        <w:tc>
          <w:tcPr>
            <w:tcW w:w="1417" w:type="dxa"/>
            <w:noWrap/>
            <w:hideMark/>
          </w:tcPr>
          <w:p w14:paraId="0BA6DF56" w14:textId="77777777" w:rsidR="002831F2" w:rsidRPr="003564D8" w:rsidRDefault="002831F2" w:rsidP="00C3245E">
            <w:pPr>
              <w:jc w:val="right"/>
              <w:rPr>
                <w:sz w:val="22"/>
                <w:szCs w:val="22"/>
              </w:rPr>
            </w:pPr>
            <w:r w:rsidRPr="003564D8">
              <w:rPr>
                <w:sz w:val="22"/>
                <w:szCs w:val="22"/>
              </w:rPr>
              <w:t>12,391,999</w:t>
            </w:r>
          </w:p>
        </w:tc>
        <w:tc>
          <w:tcPr>
            <w:tcW w:w="1559" w:type="dxa"/>
            <w:noWrap/>
            <w:hideMark/>
          </w:tcPr>
          <w:p w14:paraId="1BD29DEB" w14:textId="77777777" w:rsidR="002831F2" w:rsidRPr="003564D8" w:rsidRDefault="002831F2" w:rsidP="00C3245E">
            <w:pPr>
              <w:jc w:val="right"/>
              <w:rPr>
                <w:sz w:val="22"/>
                <w:szCs w:val="22"/>
              </w:rPr>
            </w:pPr>
            <w:r w:rsidRPr="003564D8">
              <w:rPr>
                <w:sz w:val="22"/>
                <w:szCs w:val="22"/>
              </w:rPr>
              <w:t>11,225,107</w:t>
            </w:r>
          </w:p>
        </w:tc>
      </w:tr>
      <w:tr w:rsidR="002831F2" w:rsidRPr="000A5F16" w14:paraId="7F4CFE2A" w14:textId="77777777" w:rsidTr="00C3245E">
        <w:trPr>
          <w:trHeight w:val="280"/>
        </w:trPr>
        <w:tc>
          <w:tcPr>
            <w:tcW w:w="986" w:type="dxa"/>
          </w:tcPr>
          <w:p w14:paraId="115B4039" w14:textId="77777777" w:rsidR="002831F2" w:rsidRPr="000A5F16" w:rsidRDefault="002831F2" w:rsidP="00C3245E">
            <w:pPr>
              <w:rPr>
                <w:sz w:val="22"/>
                <w:szCs w:val="22"/>
              </w:rPr>
            </w:pPr>
            <w:r w:rsidRPr="000A5F16">
              <w:rPr>
                <w:sz w:val="22"/>
                <w:szCs w:val="22"/>
              </w:rPr>
              <w:t>2019 Q1</w:t>
            </w:r>
          </w:p>
        </w:tc>
        <w:tc>
          <w:tcPr>
            <w:tcW w:w="1608" w:type="dxa"/>
            <w:noWrap/>
            <w:hideMark/>
          </w:tcPr>
          <w:p w14:paraId="74BB879F" w14:textId="77777777" w:rsidR="002831F2" w:rsidRPr="000A5F16" w:rsidRDefault="002831F2" w:rsidP="00C3245E">
            <w:pPr>
              <w:jc w:val="right"/>
              <w:rPr>
                <w:sz w:val="22"/>
                <w:szCs w:val="22"/>
              </w:rPr>
            </w:pPr>
            <w:r w:rsidRPr="000A5F16">
              <w:rPr>
                <w:sz w:val="22"/>
                <w:szCs w:val="22"/>
              </w:rPr>
              <w:t>13,957,28</w:t>
            </w:r>
            <w:r>
              <w:rPr>
                <w:sz w:val="22"/>
                <w:szCs w:val="22"/>
              </w:rPr>
              <w:t>1</w:t>
            </w:r>
          </w:p>
        </w:tc>
        <w:tc>
          <w:tcPr>
            <w:tcW w:w="1371" w:type="dxa"/>
            <w:noWrap/>
            <w:hideMark/>
          </w:tcPr>
          <w:p w14:paraId="594ED273" w14:textId="77777777" w:rsidR="002831F2" w:rsidRPr="000A5F16" w:rsidRDefault="002831F2" w:rsidP="00C3245E">
            <w:pPr>
              <w:jc w:val="right"/>
              <w:rPr>
                <w:sz w:val="22"/>
                <w:szCs w:val="22"/>
              </w:rPr>
            </w:pPr>
            <w:r w:rsidRPr="000A5F16">
              <w:rPr>
                <w:sz w:val="22"/>
                <w:szCs w:val="22"/>
              </w:rPr>
              <w:t>23,765,100</w:t>
            </w:r>
          </w:p>
        </w:tc>
        <w:tc>
          <w:tcPr>
            <w:tcW w:w="1133" w:type="dxa"/>
            <w:noWrap/>
            <w:hideMark/>
          </w:tcPr>
          <w:p w14:paraId="3FEC7100" w14:textId="77777777" w:rsidR="002831F2" w:rsidRPr="000A5F16" w:rsidRDefault="002831F2" w:rsidP="00C3245E">
            <w:pPr>
              <w:jc w:val="right"/>
              <w:rPr>
                <w:sz w:val="22"/>
                <w:szCs w:val="22"/>
              </w:rPr>
            </w:pPr>
            <w:r w:rsidRPr="000A5F16">
              <w:rPr>
                <w:sz w:val="22"/>
                <w:szCs w:val="22"/>
              </w:rPr>
              <w:t xml:space="preserve">0.9549 </w:t>
            </w:r>
          </w:p>
        </w:tc>
        <w:tc>
          <w:tcPr>
            <w:tcW w:w="993" w:type="dxa"/>
            <w:noWrap/>
            <w:hideMark/>
          </w:tcPr>
          <w:p w14:paraId="6CB7E410" w14:textId="77777777" w:rsidR="002831F2" w:rsidRPr="003564D8" w:rsidRDefault="002831F2" w:rsidP="00C3245E">
            <w:pPr>
              <w:jc w:val="right"/>
              <w:rPr>
                <w:sz w:val="22"/>
                <w:szCs w:val="22"/>
              </w:rPr>
            </w:pPr>
            <w:r w:rsidRPr="001955D6">
              <w:rPr>
                <w:sz w:val="22"/>
                <w:szCs w:val="22"/>
              </w:rPr>
              <w:t>1.8256</w:t>
            </w:r>
          </w:p>
        </w:tc>
        <w:tc>
          <w:tcPr>
            <w:tcW w:w="1417" w:type="dxa"/>
            <w:noWrap/>
            <w:hideMark/>
          </w:tcPr>
          <w:p w14:paraId="65B53C8F" w14:textId="77777777" w:rsidR="002831F2" w:rsidRPr="003564D8" w:rsidRDefault="002831F2" w:rsidP="00C3245E">
            <w:pPr>
              <w:jc w:val="right"/>
              <w:rPr>
                <w:sz w:val="22"/>
                <w:szCs w:val="22"/>
              </w:rPr>
            </w:pPr>
            <w:r w:rsidRPr="003564D8">
              <w:rPr>
                <w:sz w:val="22"/>
                <w:szCs w:val="22"/>
              </w:rPr>
              <w:t>14,616,484</w:t>
            </w:r>
          </w:p>
        </w:tc>
        <w:tc>
          <w:tcPr>
            <w:tcW w:w="1559" w:type="dxa"/>
            <w:noWrap/>
            <w:hideMark/>
          </w:tcPr>
          <w:p w14:paraId="74E138CD" w14:textId="77777777" w:rsidR="002831F2" w:rsidRPr="003564D8" w:rsidRDefault="002831F2" w:rsidP="00C3245E">
            <w:pPr>
              <w:jc w:val="right"/>
              <w:rPr>
                <w:sz w:val="22"/>
                <w:szCs w:val="22"/>
              </w:rPr>
            </w:pPr>
            <w:r w:rsidRPr="003564D8">
              <w:rPr>
                <w:sz w:val="22"/>
                <w:szCs w:val="22"/>
              </w:rPr>
              <w:t>13,017,692</w:t>
            </w:r>
          </w:p>
        </w:tc>
      </w:tr>
      <w:tr w:rsidR="002831F2" w:rsidRPr="000A5F16" w14:paraId="3C2C4151" w14:textId="77777777" w:rsidTr="00C3245E">
        <w:trPr>
          <w:trHeight w:val="280"/>
        </w:trPr>
        <w:tc>
          <w:tcPr>
            <w:tcW w:w="986" w:type="dxa"/>
          </w:tcPr>
          <w:p w14:paraId="47BF8E76" w14:textId="77777777" w:rsidR="002831F2" w:rsidRPr="000A5F16" w:rsidRDefault="002831F2" w:rsidP="00C3245E">
            <w:pPr>
              <w:rPr>
                <w:sz w:val="22"/>
                <w:szCs w:val="22"/>
              </w:rPr>
            </w:pPr>
            <w:r w:rsidRPr="000A5F16">
              <w:rPr>
                <w:sz w:val="22"/>
                <w:szCs w:val="22"/>
              </w:rPr>
              <w:t>2019 Q2</w:t>
            </w:r>
          </w:p>
        </w:tc>
        <w:tc>
          <w:tcPr>
            <w:tcW w:w="1608" w:type="dxa"/>
            <w:noWrap/>
            <w:hideMark/>
          </w:tcPr>
          <w:p w14:paraId="1AC932CA" w14:textId="77777777" w:rsidR="002831F2" w:rsidRPr="000A5F16" w:rsidRDefault="002831F2" w:rsidP="00C3245E">
            <w:pPr>
              <w:jc w:val="right"/>
              <w:rPr>
                <w:sz w:val="22"/>
                <w:szCs w:val="22"/>
              </w:rPr>
            </w:pPr>
            <w:r w:rsidRPr="000A5F16">
              <w:rPr>
                <w:sz w:val="22"/>
                <w:szCs w:val="22"/>
              </w:rPr>
              <w:t>15,304,88</w:t>
            </w:r>
            <w:r>
              <w:rPr>
                <w:sz w:val="22"/>
                <w:szCs w:val="22"/>
              </w:rPr>
              <w:t>8</w:t>
            </w:r>
          </w:p>
        </w:tc>
        <w:tc>
          <w:tcPr>
            <w:tcW w:w="1371" w:type="dxa"/>
            <w:noWrap/>
            <w:hideMark/>
          </w:tcPr>
          <w:p w14:paraId="33AE34C4" w14:textId="77777777" w:rsidR="002831F2" w:rsidRPr="000A5F16" w:rsidRDefault="002831F2" w:rsidP="00C3245E">
            <w:pPr>
              <w:jc w:val="right"/>
              <w:rPr>
                <w:sz w:val="22"/>
                <w:szCs w:val="22"/>
              </w:rPr>
            </w:pPr>
            <w:r w:rsidRPr="000A5F16">
              <w:rPr>
                <w:sz w:val="22"/>
                <w:szCs w:val="22"/>
              </w:rPr>
              <w:t>26,059,673</w:t>
            </w:r>
          </w:p>
        </w:tc>
        <w:tc>
          <w:tcPr>
            <w:tcW w:w="1133" w:type="dxa"/>
            <w:noWrap/>
            <w:hideMark/>
          </w:tcPr>
          <w:p w14:paraId="3D2B24AF" w14:textId="77777777" w:rsidR="002831F2" w:rsidRPr="000A5F16" w:rsidRDefault="002831F2" w:rsidP="00C3245E">
            <w:pPr>
              <w:jc w:val="right"/>
              <w:rPr>
                <w:sz w:val="22"/>
                <w:szCs w:val="22"/>
              </w:rPr>
            </w:pPr>
            <w:r w:rsidRPr="000A5F16">
              <w:rPr>
                <w:sz w:val="22"/>
                <w:szCs w:val="22"/>
              </w:rPr>
              <w:t xml:space="preserve">1.0226 </w:t>
            </w:r>
          </w:p>
        </w:tc>
        <w:tc>
          <w:tcPr>
            <w:tcW w:w="993" w:type="dxa"/>
            <w:noWrap/>
            <w:hideMark/>
          </w:tcPr>
          <w:p w14:paraId="3B2B337A" w14:textId="77777777" w:rsidR="002831F2" w:rsidRPr="003564D8" w:rsidRDefault="002831F2" w:rsidP="00C3245E">
            <w:pPr>
              <w:jc w:val="right"/>
              <w:rPr>
                <w:sz w:val="22"/>
                <w:szCs w:val="22"/>
              </w:rPr>
            </w:pPr>
            <w:r w:rsidRPr="001955D6">
              <w:rPr>
                <w:sz w:val="22"/>
                <w:szCs w:val="22"/>
              </w:rPr>
              <w:t>1.9197</w:t>
            </w:r>
          </w:p>
        </w:tc>
        <w:tc>
          <w:tcPr>
            <w:tcW w:w="1417" w:type="dxa"/>
            <w:noWrap/>
            <w:hideMark/>
          </w:tcPr>
          <w:p w14:paraId="0362AA5D" w14:textId="77777777" w:rsidR="002831F2" w:rsidRPr="003564D8" w:rsidRDefault="002831F2" w:rsidP="00C3245E">
            <w:pPr>
              <w:jc w:val="right"/>
              <w:rPr>
                <w:sz w:val="22"/>
                <w:szCs w:val="22"/>
              </w:rPr>
            </w:pPr>
            <w:r w:rsidRPr="003564D8">
              <w:rPr>
                <w:sz w:val="22"/>
                <w:szCs w:val="22"/>
              </w:rPr>
              <w:t>14,966,642</w:t>
            </w:r>
          </w:p>
        </w:tc>
        <w:tc>
          <w:tcPr>
            <w:tcW w:w="1559" w:type="dxa"/>
            <w:noWrap/>
            <w:hideMark/>
          </w:tcPr>
          <w:p w14:paraId="7B2E597E" w14:textId="77777777" w:rsidR="002831F2" w:rsidRPr="003564D8" w:rsidRDefault="002831F2" w:rsidP="00C3245E">
            <w:pPr>
              <w:jc w:val="right"/>
              <w:rPr>
                <w:sz w:val="22"/>
                <w:szCs w:val="22"/>
              </w:rPr>
            </w:pPr>
            <w:r w:rsidRPr="003564D8">
              <w:rPr>
                <w:sz w:val="22"/>
                <w:szCs w:val="22"/>
              </w:rPr>
              <w:t>13,574,867</w:t>
            </w:r>
          </w:p>
        </w:tc>
      </w:tr>
    </w:tbl>
    <w:p w14:paraId="08D294B9" w14:textId="77777777" w:rsidR="002831F2" w:rsidRDefault="002831F2" w:rsidP="002831F2">
      <w:pPr>
        <w:spacing w:before="120" w:after="120" w:line="276" w:lineRule="auto"/>
        <w:jc w:val="both"/>
      </w:pPr>
      <w:r>
        <w:t xml:space="preserve">In total, for the 2018/2019 financial year this is </w:t>
      </w:r>
      <w:r w:rsidRPr="007A3223">
        <w:t>56,205,739</w:t>
      </w:r>
      <w:r w:rsidRPr="00FC13E1">
        <w:t xml:space="preserve"> l</w:t>
      </w:r>
      <w:r w:rsidRPr="007A3223">
        <w:t>itres</w:t>
      </w:r>
      <w:r>
        <w:t xml:space="preserve"> of Diesel and </w:t>
      </w:r>
      <w:r w:rsidRPr="003564D8">
        <w:t>51,511,625</w:t>
      </w:r>
      <w:r w:rsidRPr="007A3223">
        <w:t xml:space="preserve"> litres</w:t>
      </w:r>
      <w:r>
        <w:t xml:space="preserve"> of Petrol used in Dunedin City. </w:t>
      </w:r>
    </w:p>
    <w:p w14:paraId="11A03DF3" w14:textId="77777777" w:rsidR="002831F2" w:rsidRDefault="002831F2" w:rsidP="002831F2">
      <w:r>
        <w:t>Using the following emission factors</w:t>
      </w:r>
      <w:r>
        <w:rPr>
          <w:rStyle w:val="FootnoteReference"/>
        </w:rPr>
        <w:footnoteReference w:id="10"/>
      </w:r>
      <w:r w:rsidRPr="0036245A">
        <w:rPr>
          <w:color w:val="000000" w:themeColor="text1"/>
        </w:rPr>
        <w:t>:</w:t>
      </w:r>
    </w:p>
    <w:p w14:paraId="4B75445B" w14:textId="77777777" w:rsidR="002831F2" w:rsidRDefault="002831F2" w:rsidP="002831F2">
      <w:pPr>
        <w:spacing w:before="120"/>
        <w:ind w:left="357"/>
        <w:jc w:val="center"/>
      </w:pPr>
      <w:r w:rsidRPr="00C12343">
        <w:t>Petrol (litre</w:t>
      </w:r>
      <w:r w:rsidRPr="007B6CF0">
        <w:t>): 2.45</w:t>
      </w:r>
      <w:r>
        <w:t xml:space="preserve"> </w:t>
      </w:r>
      <w:r w:rsidRPr="00C12343">
        <w:t>kg CO</w:t>
      </w:r>
      <w:r w:rsidRPr="007B6CF0">
        <w:rPr>
          <w:vertAlign w:val="subscript"/>
        </w:rPr>
        <w:t>2</w:t>
      </w:r>
      <w:r w:rsidRPr="00C12343">
        <w:t>-e</w:t>
      </w:r>
    </w:p>
    <w:p w14:paraId="6CCC2FEC" w14:textId="77777777" w:rsidR="002831F2" w:rsidRPr="00C12343" w:rsidRDefault="002831F2" w:rsidP="002831F2">
      <w:pPr>
        <w:spacing w:before="120"/>
        <w:ind w:left="357"/>
        <w:jc w:val="center"/>
      </w:pPr>
      <w:r w:rsidRPr="00C12343">
        <w:t>Diesel (</w:t>
      </w:r>
      <w:r w:rsidRPr="007B6CF0">
        <w:t>litre): 2.69</w:t>
      </w:r>
      <w:r>
        <w:t xml:space="preserve"> </w:t>
      </w:r>
      <w:r w:rsidRPr="00C12343">
        <w:t>kg CO</w:t>
      </w:r>
      <w:r w:rsidRPr="007B6CF0">
        <w:rPr>
          <w:vertAlign w:val="subscript"/>
        </w:rPr>
        <w:t>2</w:t>
      </w:r>
      <w:r w:rsidRPr="00C12343">
        <w:t>-e</w:t>
      </w:r>
    </w:p>
    <w:p w14:paraId="70575AE8" w14:textId="77777777" w:rsidR="002831F2" w:rsidRPr="006D552E" w:rsidRDefault="002831F2" w:rsidP="002831F2">
      <w:pPr>
        <w:spacing w:before="120" w:after="120" w:line="276" w:lineRule="auto"/>
        <w:jc w:val="both"/>
        <w:rPr>
          <w:b/>
          <w:bCs/>
        </w:rPr>
      </w:pPr>
      <w:r w:rsidRPr="001955D6">
        <w:t>Diesel and Petrol consumption in the 2018/2019 financial year caused an estimated 277,39</w:t>
      </w:r>
      <w:r>
        <w:t>7</w:t>
      </w:r>
      <w:r w:rsidRPr="001955D6">
        <w:t>,</w:t>
      </w:r>
      <w:r>
        <w:t>000</w:t>
      </w:r>
      <w:r w:rsidRPr="001955D6">
        <w:t xml:space="preserve"> kg CO</w:t>
      </w:r>
      <w:r w:rsidRPr="001955D6">
        <w:rPr>
          <w:vertAlign w:val="subscript"/>
        </w:rPr>
        <w:t>2</w:t>
      </w:r>
      <w:r w:rsidRPr="001955D6">
        <w:t>-e in Dunedin City. This is matches well with the reported E&amp;Y figure of 277,256,000 kg CO</w:t>
      </w:r>
      <w:r w:rsidRPr="001955D6">
        <w:rPr>
          <w:vertAlign w:val="subscript"/>
        </w:rPr>
        <w:t>2</w:t>
      </w:r>
      <w:r w:rsidRPr="001955D6">
        <w:t xml:space="preserve">-e. </w:t>
      </w:r>
    </w:p>
    <w:p w14:paraId="40E6BB48" w14:textId="5F6F9AB7" w:rsidR="00F05E00" w:rsidRDefault="00586102" w:rsidP="00586102">
      <w:pPr>
        <w:tabs>
          <w:tab w:val="left" w:pos="1890"/>
        </w:tabs>
      </w:pPr>
      <w:r>
        <w:tab/>
      </w:r>
    </w:p>
    <w:sectPr w:rsidR="00F05E00" w:rsidSect="00420F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9E63" w14:textId="77777777" w:rsidR="002831F2" w:rsidRDefault="002831F2" w:rsidP="002831F2">
      <w:r>
        <w:separator/>
      </w:r>
    </w:p>
  </w:endnote>
  <w:endnote w:type="continuationSeparator" w:id="0">
    <w:p w14:paraId="1DC5F0D4" w14:textId="77777777" w:rsidR="002831F2" w:rsidRDefault="002831F2" w:rsidP="00283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4F477" w14:textId="77777777" w:rsidR="002831F2" w:rsidRDefault="002831F2" w:rsidP="002831F2">
      <w:r>
        <w:separator/>
      </w:r>
    </w:p>
  </w:footnote>
  <w:footnote w:type="continuationSeparator" w:id="0">
    <w:p w14:paraId="7506646C" w14:textId="77777777" w:rsidR="002831F2" w:rsidRDefault="002831F2" w:rsidP="002831F2">
      <w:r>
        <w:continuationSeparator/>
      </w:r>
    </w:p>
  </w:footnote>
  <w:footnote w:id="1">
    <w:p w14:paraId="62475EF4" w14:textId="77777777" w:rsidR="002831F2" w:rsidRPr="003564D8" w:rsidRDefault="002831F2" w:rsidP="002831F2">
      <w:pPr>
        <w:pStyle w:val="FootnoteText"/>
        <w:rPr>
          <w:lang w:val="en-US"/>
        </w:rPr>
      </w:pPr>
      <w:r>
        <w:rPr>
          <w:rStyle w:val="FootnoteReference"/>
        </w:rPr>
        <w:footnoteRef/>
      </w:r>
      <w:r>
        <w:t xml:space="preserve"> </w:t>
      </w:r>
      <w:proofErr w:type="spellStart"/>
      <w:r w:rsidRPr="00557ABF">
        <w:rPr>
          <w:rFonts w:ascii="Times New Roman" w:hAnsi="Times New Roman" w:cs="Times New Roman"/>
          <w:lang w:val="en-US"/>
        </w:rPr>
        <w:t>MfE</w:t>
      </w:r>
      <w:proofErr w:type="spellEnd"/>
      <w:r w:rsidRPr="00557ABF">
        <w:rPr>
          <w:rFonts w:ascii="Times New Roman" w:hAnsi="Times New Roman" w:cs="Times New Roman"/>
          <w:lang w:val="en-US"/>
        </w:rPr>
        <w:t xml:space="preserve"> Guidance for Voluntary GHG Reporting 2018 https://environment.govt.nz/assets/Publications/Files/Measuring-Emissions-Quick-Guide-2020-final.pdf</w:t>
      </w:r>
    </w:p>
  </w:footnote>
  <w:footnote w:id="2">
    <w:p w14:paraId="6712AD66" w14:textId="77777777" w:rsidR="002831F2" w:rsidRPr="001955D6" w:rsidRDefault="002831F2" w:rsidP="002831F2">
      <w:pPr>
        <w:pStyle w:val="FootnoteText"/>
        <w:rPr>
          <w:rFonts w:ascii="Times New Roman" w:hAnsi="Times New Roman" w:cs="Times New Roman"/>
          <w:lang w:val="en-US"/>
        </w:rPr>
      </w:pPr>
      <w:r>
        <w:rPr>
          <w:rStyle w:val="FootnoteReference"/>
        </w:rPr>
        <w:footnoteRef/>
      </w:r>
      <w:r>
        <w:t xml:space="preserve"> </w:t>
      </w:r>
      <w:r w:rsidRPr="001955D6">
        <w:rPr>
          <w:rFonts w:ascii="Times New Roman" w:hAnsi="Times New Roman" w:cs="Times New Roman"/>
          <w:lang w:val="en-US"/>
        </w:rPr>
        <w:t xml:space="preserve">Calculating transport fuel based on dollars spent is not recommended by </w:t>
      </w:r>
      <w:proofErr w:type="spellStart"/>
      <w:r w:rsidRPr="001955D6">
        <w:rPr>
          <w:rFonts w:ascii="Times New Roman" w:hAnsi="Times New Roman" w:cs="Times New Roman"/>
          <w:lang w:val="en-US"/>
        </w:rPr>
        <w:t>MfE</w:t>
      </w:r>
      <w:proofErr w:type="spellEnd"/>
      <w:r w:rsidRPr="001955D6">
        <w:rPr>
          <w:rFonts w:ascii="Times New Roman" w:hAnsi="Times New Roman" w:cs="Times New Roman"/>
          <w:lang w:val="en-US"/>
        </w:rPr>
        <w:t>. See Sec 4.1.3 of https://environment.govt.nz/assets/Publications/Files/Measuring-Emissions-Quick-Guide-2020-final.pdf</w:t>
      </w:r>
    </w:p>
  </w:footnote>
  <w:footnote w:id="3">
    <w:p w14:paraId="52931E6F" w14:textId="77777777" w:rsidR="002831F2" w:rsidRPr="001955D6" w:rsidRDefault="002831F2" w:rsidP="002831F2">
      <w:pPr>
        <w:pStyle w:val="NormalWeb"/>
        <w:spacing w:before="0" w:beforeAutospacing="0" w:after="0" w:afterAutospacing="0"/>
        <w:rPr>
          <w:sz w:val="21"/>
          <w:szCs w:val="21"/>
        </w:rPr>
      </w:pPr>
      <w:r w:rsidRPr="00135592">
        <w:rPr>
          <w:rStyle w:val="FootnoteReference"/>
        </w:rPr>
        <w:footnoteRef/>
      </w:r>
      <w:r w:rsidRPr="00135592">
        <w:t xml:space="preserve"> </w:t>
      </w:r>
      <w:r w:rsidRPr="001955D6">
        <w:rPr>
          <w:sz w:val="20"/>
          <w:szCs w:val="20"/>
        </w:rPr>
        <w:t xml:space="preserve">Background Discussion of Regional Vehicle-Kilometres Travelled (VKT) Data in New Zealand - July 2019  - </w:t>
      </w:r>
      <w:proofErr w:type="spellStart"/>
      <w:r w:rsidRPr="001955D6">
        <w:rPr>
          <w:sz w:val="20"/>
          <w:szCs w:val="20"/>
        </w:rPr>
        <w:t>MoT</w:t>
      </w:r>
      <w:proofErr w:type="spellEnd"/>
      <w:r w:rsidRPr="001955D6">
        <w:rPr>
          <w:sz w:val="20"/>
          <w:szCs w:val="20"/>
        </w:rPr>
        <w:t xml:space="preserve"> Analytics.</w:t>
      </w:r>
    </w:p>
    <w:p w14:paraId="7103763E" w14:textId="77777777" w:rsidR="002831F2" w:rsidRPr="000A5F16" w:rsidRDefault="002831F2" w:rsidP="002831F2">
      <w:pPr>
        <w:pStyle w:val="FootnoteText"/>
        <w:rPr>
          <w:lang w:val="en-NZ"/>
        </w:rPr>
      </w:pPr>
    </w:p>
  </w:footnote>
  <w:footnote w:id="4">
    <w:p w14:paraId="2CDC1446" w14:textId="77777777" w:rsidR="002831F2" w:rsidRPr="00557ABF" w:rsidRDefault="002831F2" w:rsidP="002831F2">
      <w:pPr>
        <w:pStyle w:val="FootnoteText"/>
        <w:rPr>
          <w:rFonts w:ascii="Times New Roman" w:hAnsi="Times New Roman" w:cs="Times New Roman"/>
          <w:lang w:val="de-DE"/>
        </w:rPr>
      </w:pPr>
      <w:r>
        <w:rPr>
          <w:rStyle w:val="FootnoteReference"/>
        </w:rPr>
        <w:footnoteRef/>
      </w:r>
      <w:r w:rsidRPr="00557ABF">
        <w:rPr>
          <w:lang w:val="de-DE"/>
        </w:rPr>
        <w:t xml:space="preserve"> </w:t>
      </w:r>
      <w:r w:rsidRPr="00557ABF">
        <w:rPr>
          <w:rFonts w:ascii="Times New Roman" w:hAnsi="Times New Roman" w:cs="Times New Roman"/>
          <w:lang w:val="de-DE"/>
        </w:rPr>
        <w:t xml:space="preserve">MfE 2020, </w:t>
      </w:r>
      <w:r w:rsidRPr="00557ABF">
        <w:rPr>
          <w:rFonts w:ascii="Times New Roman" w:hAnsi="Times New Roman" w:cs="Times New Roman"/>
          <w:color w:val="0563C1"/>
          <w:u w:val="single"/>
          <w:lang w:val="de-DE"/>
        </w:rPr>
        <w:t>https://environment.govt.nz/assets/Publications/Files/Measuring-Emissions-Detailed-Guide-2020.pdf</w:t>
      </w:r>
    </w:p>
  </w:footnote>
  <w:footnote w:id="5">
    <w:p w14:paraId="4B8CA080" w14:textId="2075C1CA" w:rsidR="00035617" w:rsidRPr="00035617" w:rsidRDefault="00035617">
      <w:pPr>
        <w:pStyle w:val="FootnoteText"/>
        <w:rPr>
          <w:lang w:val="en-US"/>
        </w:rPr>
      </w:pPr>
      <w:r>
        <w:rPr>
          <w:rStyle w:val="FootnoteReference"/>
        </w:rPr>
        <w:footnoteRef/>
      </w:r>
      <w:r>
        <w:t xml:space="preserve"> </w:t>
      </w:r>
      <w:r w:rsidRPr="00035617">
        <w:t>https://www.transport.govt.nz/assets/Uploads/Discussion/Background-Discussion-of-VKT-Data-20190716.pdf</w:t>
      </w:r>
    </w:p>
  </w:footnote>
  <w:footnote w:id="6">
    <w:p w14:paraId="12027CB3" w14:textId="77777777" w:rsidR="002831F2" w:rsidRPr="00557ABF" w:rsidRDefault="002831F2" w:rsidP="002831F2">
      <w:pPr>
        <w:pStyle w:val="FootnoteText"/>
        <w:rPr>
          <w:rFonts w:ascii="Times New Roman" w:hAnsi="Times New Roman" w:cs="Times New Roman"/>
          <w:lang w:val="de-DE"/>
        </w:rPr>
      </w:pPr>
      <w:r>
        <w:rPr>
          <w:rStyle w:val="FootnoteReference"/>
        </w:rPr>
        <w:footnoteRef/>
      </w:r>
      <w:r w:rsidRPr="00557ABF">
        <w:rPr>
          <w:lang w:val="de-DE"/>
        </w:rPr>
        <w:t xml:space="preserve"> </w:t>
      </w:r>
      <w:proofErr w:type="spellStart"/>
      <w:r w:rsidRPr="00557ABF">
        <w:rPr>
          <w:rFonts w:ascii="Times New Roman" w:hAnsi="Times New Roman" w:cs="Times New Roman"/>
          <w:lang w:val="de-DE"/>
        </w:rPr>
        <w:t>MfE</w:t>
      </w:r>
      <w:proofErr w:type="spellEnd"/>
      <w:r w:rsidRPr="00557ABF">
        <w:rPr>
          <w:rFonts w:ascii="Times New Roman" w:hAnsi="Times New Roman" w:cs="Times New Roman"/>
          <w:lang w:val="de-DE"/>
        </w:rPr>
        <w:t xml:space="preserve"> 2020, </w:t>
      </w:r>
      <w:r w:rsidRPr="00557ABF">
        <w:rPr>
          <w:rFonts w:ascii="Times New Roman" w:hAnsi="Times New Roman" w:cs="Times New Roman"/>
          <w:color w:val="0563C1"/>
          <w:u w:val="single"/>
          <w:lang w:val="de-DE"/>
        </w:rPr>
        <w:t>https://environment.govt.nz/assets/Publications/Files/Measuring-Emissions-Detailed-Guide-2020.pdf</w:t>
      </w:r>
    </w:p>
  </w:footnote>
  <w:footnote w:id="7">
    <w:p w14:paraId="0476AC82" w14:textId="77777777" w:rsidR="002831F2" w:rsidRPr="00557ABF" w:rsidRDefault="002831F2" w:rsidP="002831F2">
      <w:pPr>
        <w:pStyle w:val="FootnoteText"/>
        <w:rPr>
          <w:rFonts w:ascii="Times New Roman" w:hAnsi="Times New Roman" w:cs="Times New Roman"/>
          <w:lang w:val="de-DE"/>
        </w:rPr>
      </w:pPr>
      <w:r>
        <w:rPr>
          <w:rStyle w:val="FootnoteReference"/>
        </w:rPr>
        <w:footnoteRef/>
      </w:r>
      <w:r w:rsidRPr="00557ABF">
        <w:rPr>
          <w:lang w:val="de-DE"/>
        </w:rPr>
        <w:t xml:space="preserve"> </w:t>
      </w:r>
      <w:r w:rsidRPr="00557ABF">
        <w:rPr>
          <w:rFonts w:ascii="Times New Roman" w:hAnsi="Times New Roman" w:cs="Times New Roman"/>
          <w:lang w:val="de-DE"/>
        </w:rPr>
        <w:t>https://tools.eeca.govt.nz/energy-end-use-database/</w:t>
      </w:r>
    </w:p>
  </w:footnote>
  <w:footnote w:id="8">
    <w:p w14:paraId="57C4A3A8" w14:textId="77777777" w:rsidR="002831F2" w:rsidRPr="00557ABF" w:rsidRDefault="002831F2" w:rsidP="002831F2">
      <w:pPr>
        <w:pStyle w:val="FootnoteText"/>
        <w:rPr>
          <w:rFonts w:ascii="Times New Roman" w:hAnsi="Times New Roman" w:cs="Times New Roman"/>
          <w:lang w:val="de-DE"/>
        </w:rPr>
      </w:pPr>
      <w:r w:rsidRPr="001955D6">
        <w:rPr>
          <w:rStyle w:val="FootnoteReference"/>
          <w:rFonts w:ascii="Times New Roman" w:hAnsi="Times New Roman" w:cs="Times New Roman"/>
        </w:rPr>
        <w:footnoteRef/>
      </w:r>
      <w:r w:rsidRPr="00557ABF">
        <w:rPr>
          <w:rFonts w:ascii="Times New Roman" w:hAnsi="Times New Roman" w:cs="Times New Roman"/>
          <w:lang w:val="de-DE"/>
        </w:rPr>
        <w:t xml:space="preserve"> https://www.mbie.govt.nz/building-and-energy/energy-and-natural-resources/energy-statistics-and-modelling/energy-statistics/energy-prices/</w:t>
      </w:r>
    </w:p>
  </w:footnote>
  <w:footnote w:id="9">
    <w:p w14:paraId="2DC75938" w14:textId="77777777" w:rsidR="002831F2" w:rsidRPr="001955D6" w:rsidRDefault="002831F2" w:rsidP="002831F2">
      <w:pPr>
        <w:pStyle w:val="FootnoteText"/>
        <w:rPr>
          <w:rFonts w:ascii="Times New Roman" w:hAnsi="Times New Roman" w:cs="Times New Roman"/>
          <w:lang w:val="en-NZ"/>
        </w:rPr>
      </w:pPr>
      <w:r w:rsidRPr="001955D6">
        <w:rPr>
          <w:rStyle w:val="FootnoteReference"/>
          <w:rFonts w:ascii="Times New Roman" w:hAnsi="Times New Roman" w:cs="Times New Roman"/>
        </w:rPr>
        <w:footnoteRef/>
      </w:r>
      <w:r w:rsidRPr="001955D6">
        <w:rPr>
          <w:rFonts w:ascii="Times New Roman" w:hAnsi="Times New Roman" w:cs="Times New Roman"/>
        </w:rPr>
        <w:t xml:space="preserve"> Ministry for the Environment (2020), Measuring Emissions: A Guide for Organisations, https://environment.govt.nz/assets/Publications/Files/Measuring-Emissions-Detailed-Guide-2020.pdf</w:t>
      </w:r>
    </w:p>
  </w:footnote>
  <w:footnote w:id="10">
    <w:p w14:paraId="53B6967B" w14:textId="77777777" w:rsidR="002831F2" w:rsidRPr="00557ABF" w:rsidRDefault="002831F2" w:rsidP="002831F2">
      <w:pPr>
        <w:pStyle w:val="FootnoteText"/>
        <w:rPr>
          <w:rFonts w:ascii="Times New Roman" w:hAnsi="Times New Roman" w:cs="Times New Roman"/>
          <w:lang w:val="de-DE"/>
        </w:rPr>
      </w:pPr>
      <w:r w:rsidRPr="001955D6">
        <w:rPr>
          <w:rStyle w:val="FootnoteReference"/>
          <w:rFonts w:ascii="Times New Roman" w:hAnsi="Times New Roman" w:cs="Times New Roman"/>
        </w:rPr>
        <w:footnoteRef/>
      </w:r>
      <w:r w:rsidRPr="00557ABF">
        <w:rPr>
          <w:rFonts w:ascii="Times New Roman" w:hAnsi="Times New Roman" w:cs="Times New Roman"/>
          <w:lang w:val="de-DE"/>
        </w:rPr>
        <w:t xml:space="preserve"> MfE 2020, </w:t>
      </w:r>
      <w:r w:rsidRPr="00557ABF">
        <w:rPr>
          <w:rFonts w:ascii="Times New Roman" w:hAnsi="Times New Roman" w:cs="Times New Roman"/>
          <w:color w:val="0563C1"/>
          <w:u w:val="single"/>
          <w:lang w:val="de-DE"/>
        </w:rPr>
        <w:t>https://environment.govt.nz/assets/Publications/Files/Measuring-Emissions-Detailed-Guide-2020.pdf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6EFA"/>
    <w:multiLevelType w:val="hybridMultilevel"/>
    <w:tmpl w:val="7506E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920A1"/>
    <w:multiLevelType w:val="hybridMultilevel"/>
    <w:tmpl w:val="13621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04B8A"/>
    <w:multiLevelType w:val="hybridMultilevel"/>
    <w:tmpl w:val="A41AE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704D85"/>
    <w:multiLevelType w:val="hybridMultilevel"/>
    <w:tmpl w:val="C7163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F2"/>
    <w:rsid w:val="00035617"/>
    <w:rsid w:val="00041867"/>
    <w:rsid w:val="00067339"/>
    <w:rsid w:val="00197A4C"/>
    <w:rsid w:val="002831F2"/>
    <w:rsid w:val="00453D9C"/>
    <w:rsid w:val="004F011A"/>
    <w:rsid w:val="00537029"/>
    <w:rsid w:val="00566467"/>
    <w:rsid w:val="00586102"/>
    <w:rsid w:val="006D2C56"/>
    <w:rsid w:val="006D4FC2"/>
    <w:rsid w:val="007A1804"/>
    <w:rsid w:val="007E7372"/>
    <w:rsid w:val="00840A06"/>
    <w:rsid w:val="00881D24"/>
    <w:rsid w:val="008C77C8"/>
    <w:rsid w:val="00977C06"/>
    <w:rsid w:val="009941E6"/>
    <w:rsid w:val="009964C8"/>
    <w:rsid w:val="009F2FCE"/>
    <w:rsid w:val="00A53F6D"/>
    <w:rsid w:val="00D10955"/>
    <w:rsid w:val="00DC6D72"/>
    <w:rsid w:val="00E722B2"/>
    <w:rsid w:val="00F05E00"/>
    <w:rsid w:val="00FC1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96E8"/>
  <w14:defaultImageDpi w14:val="32767"/>
  <w15:chartTrackingRefBased/>
  <w15:docId w15:val="{6FB6136F-7977-D848-AA66-7013BF97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31F2"/>
    <w:rPr>
      <w:rFonts w:ascii="Times New Roman" w:eastAsia="Times New Roman" w:hAnsi="Times New Roman" w:cs="Times New Roman"/>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1F2"/>
    <w:pPr>
      <w:ind w:left="720"/>
      <w:contextualSpacing/>
    </w:pPr>
    <w:rPr>
      <w:rFonts w:asciiTheme="minorHAnsi" w:eastAsiaTheme="minorHAnsi" w:hAnsiTheme="minorHAnsi" w:cstheme="minorBidi"/>
      <w:lang w:val="en-GB" w:eastAsia="en-US"/>
    </w:rPr>
  </w:style>
  <w:style w:type="paragraph" w:styleId="FootnoteText">
    <w:name w:val="footnote text"/>
    <w:basedOn w:val="Normal"/>
    <w:link w:val="FootnoteTextChar"/>
    <w:uiPriority w:val="99"/>
    <w:semiHidden/>
    <w:unhideWhenUsed/>
    <w:rsid w:val="002831F2"/>
    <w:rPr>
      <w:rFonts w:asciiTheme="minorHAnsi" w:eastAsiaTheme="minorHAnsi" w:hAnsiTheme="minorHAnsi" w:cstheme="minorBidi"/>
      <w:sz w:val="20"/>
      <w:szCs w:val="20"/>
      <w:lang w:val="en-GB" w:eastAsia="en-US"/>
    </w:rPr>
  </w:style>
  <w:style w:type="character" w:customStyle="1" w:styleId="FootnoteTextChar">
    <w:name w:val="Footnote Text Char"/>
    <w:basedOn w:val="DefaultParagraphFont"/>
    <w:link w:val="FootnoteText"/>
    <w:uiPriority w:val="99"/>
    <w:semiHidden/>
    <w:rsid w:val="002831F2"/>
    <w:rPr>
      <w:sz w:val="20"/>
      <w:szCs w:val="20"/>
    </w:rPr>
  </w:style>
  <w:style w:type="character" w:styleId="FootnoteReference">
    <w:name w:val="footnote reference"/>
    <w:basedOn w:val="DefaultParagraphFont"/>
    <w:uiPriority w:val="99"/>
    <w:semiHidden/>
    <w:unhideWhenUsed/>
    <w:rsid w:val="002831F2"/>
    <w:rPr>
      <w:vertAlign w:val="superscript"/>
    </w:rPr>
  </w:style>
  <w:style w:type="paragraph" w:styleId="NormalWeb">
    <w:name w:val="Normal (Web)"/>
    <w:basedOn w:val="Normal"/>
    <w:uiPriority w:val="99"/>
    <w:semiHidden/>
    <w:unhideWhenUsed/>
    <w:rsid w:val="002831F2"/>
    <w:pPr>
      <w:spacing w:before="100" w:beforeAutospacing="1" w:after="100" w:afterAutospacing="1"/>
    </w:pPr>
  </w:style>
  <w:style w:type="character" w:styleId="CommentReference">
    <w:name w:val="annotation reference"/>
    <w:basedOn w:val="DefaultParagraphFont"/>
    <w:uiPriority w:val="99"/>
    <w:semiHidden/>
    <w:unhideWhenUsed/>
    <w:rsid w:val="009941E6"/>
    <w:rPr>
      <w:sz w:val="16"/>
      <w:szCs w:val="16"/>
    </w:rPr>
  </w:style>
  <w:style w:type="paragraph" w:styleId="CommentText">
    <w:name w:val="annotation text"/>
    <w:basedOn w:val="Normal"/>
    <w:link w:val="CommentTextChar"/>
    <w:uiPriority w:val="99"/>
    <w:semiHidden/>
    <w:unhideWhenUsed/>
    <w:rsid w:val="009941E6"/>
    <w:rPr>
      <w:sz w:val="20"/>
      <w:szCs w:val="20"/>
    </w:rPr>
  </w:style>
  <w:style w:type="character" w:customStyle="1" w:styleId="CommentTextChar">
    <w:name w:val="Comment Text Char"/>
    <w:basedOn w:val="DefaultParagraphFont"/>
    <w:link w:val="CommentText"/>
    <w:uiPriority w:val="99"/>
    <w:semiHidden/>
    <w:rsid w:val="009941E6"/>
    <w:rPr>
      <w:rFonts w:ascii="Times New Roman" w:eastAsia="Times New Roman" w:hAnsi="Times New Roman" w:cs="Times New Roman"/>
      <w:sz w:val="20"/>
      <w:szCs w:val="20"/>
      <w:lang w:val="en-NZ" w:eastAsia="zh-CN"/>
    </w:rPr>
  </w:style>
  <w:style w:type="paragraph" w:styleId="CommentSubject">
    <w:name w:val="annotation subject"/>
    <w:basedOn w:val="CommentText"/>
    <w:next w:val="CommentText"/>
    <w:link w:val="CommentSubjectChar"/>
    <w:uiPriority w:val="99"/>
    <w:semiHidden/>
    <w:unhideWhenUsed/>
    <w:rsid w:val="009941E6"/>
    <w:rPr>
      <w:b/>
      <w:bCs/>
    </w:rPr>
  </w:style>
  <w:style w:type="character" w:customStyle="1" w:styleId="CommentSubjectChar">
    <w:name w:val="Comment Subject Char"/>
    <w:basedOn w:val="CommentTextChar"/>
    <w:link w:val="CommentSubject"/>
    <w:uiPriority w:val="99"/>
    <w:semiHidden/>
    <w:rsid w:val="009941E6"/>
    <w:rPr>
      <w:rFonts w:ascii="Times New Roman" w:eastAsia="Times New Roman" w:hAnsi="Times New Roman" w:cs="Times New Roman"/>
      <w:b/>
      <w:bCs/>
      <w:sz w:val="20"/>
      <w:szCs w:val="20"/>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ebden@dcc.govt.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rnest.zheng@nzta.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BEF6-7967-AD44-901A-F1825280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2</cp:revision>
  <cp:lastPrinted>2021-11-14T23:29:00Z</cp:lastPrinted>
  <dcterms:created xsi:type="dcterms:W3CDTF">2021-11-14T23:37:00Z</dcterms:created>
  <dcterms:modified xsi:type="dcterms:W3CDTF">2021-11-14T23:37:00Z</dcterms:modified>
</cp:coreProperties>
</file>