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61C2" w14:textId="77777777" w:rsidR="0021699D" w:rsidRDefault="00A60698">
      <w:r>
        <w:rPr>
          <w:noProof/>
        </w:rPr>
        <w:drawing>
          <wp:inline distT="0" distB="0" distL="0" distR="0" wp14:anchorId="16D34FB3" wp14:editId="5A2CCE2A">
            <wp:extent cx="4196142" cy="3200400"/>
            <wp:effectExtent l="0" t="0" r="1397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9116A9" w14:textId="022FC89A" w:rsidR="00E923C5" w:rsidRDefault="00EF1174">
      <w:r>
        <w:rPr>
          <w:noProof/>
        </w:rPr>
        <w:drawing>
          <wp:inline distT="0" distB="0" distL="0" distR="0" wp14:anchorId="35201596" wp14:editId="5EFAAF8F">
            <wp:extent cx="4196080" cy="3200400"/>
            <wp:effectExtent l="0" t="0" r="1397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E2F5DBC" w14:textId="7A2BF26D" w:rsidR="004F501E" w:rsidRDefault="004F501E"/>
    <w:p w14:paraId="03003D8E" w14:textId="3B46311A" w:rsidR="004F501E" w:rsidRDefault="004F501E"/>
    <w:p w14:paraId="0ED674FD" w14:textId="77777777" w:rsidR="004F501E" w:rsidRDefault="004F501E"/>
    <w:p w14:paraId="021F1A4E" w14:textId="3EBC766C" w:rsidR="0021699D" w:rsidRDefault="0021699D"/>
    <w:p w14:paraId="7E40CBB1" w14:textId="5F17E86C" w:rsidR="00EC5A5E" w:rsidRDefault="00EC5A5E"/>
    <w:sectPr w:rsidR="00EC5A5E" w:rsidSect="002F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74"/>
    <w:rsid w:val="0021699D"/>
    <w:rsid w:val="002F5252"/>
    <w:rsid w:val="003C2279"/>
    <w:rsid w:val="004F501E"/>
    <w:rsid w:val="00994133"/>
    <w:rsid w:val="00A60698"/>
    <w:rsid w:val="00C75794"/>
    <w:rsid w:val="00D54A1F"/>
    <w:rsid w:val="00D63733"/>
    <w:rsid w:val="00E923C5"/>
    <w:rsid w:val="00E933C0"/>
    <w:rsid w:val="00EC5A5E"/>
    <w:rsid w:val="00E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697D"/>
  <w15:chartTrackingRefBased/>
  <w15:docId w15:val="{3AF528B5-FCFA-4EBA-A34C-81A432FB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Performance-Test Bilder pro Sekunde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Modular Groß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1">
                  <c:v>23</c:v>
                </c:pt>
                <c:pt idx="2">
                  <c:v>40</c:v>
                </c:pt>
                <c:pt idx="3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4E-478A-B20A-A3C2344E19B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Modular Klein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24</c:v>
                </c:pt>
                <c:pt idx="1">
                  <c:v>70</c:v>
                </c:pt>
                <c:pt idx="2">
                  <c:v>125</c:v>
                </c:pt>
                <c:pt idx="3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4E-478A-B20A-A3C2344E19B6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Klassisch Groß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1">
                  <c:v>50</c:v>
                </c:pt>
                <c:pt idx="2">
                  <c:v>86</c:v>
                </c:pt>
                <c:pt idx="3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3F-4250-9E4E-FBC1CE8EC641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Klassisch Klein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Tabelle1!$E$2:$E$5</c:f>
              <c:numCache>
                <c:formatCode>General</c:formatCode>
                <c:ptCount val="4"/>
                <c:pt idx="0">
                  <c:v>85</c:v>
                </c:pt>
                <c:pt idx="1">
                  <c:v>150</c:v>
                </c:pt>
                <c:pt idx="2">
                  <c:v>157</c:v>
                </c:pt>
                <c:pt idx="3">
                  <c:v>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3F-4250-9E4E-FBC1CE8EC6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844005455"/>
        <c:axId val="1842978767"/>
      </c:barChart>
      <c:catAx>
        <c:axId val="1844005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42978767"/>
        <c:crosses val="autoZero"/>
        <c:auto val="1"/>
        <c:lblAlgn val="ctr"/>
        <c:lblOffset val="100"/>
        <c:noMultiLvlLbl val="0"/>
      </c:catAx>
      <c:valAx>
        <c:axId val="184297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4400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Performance-Test Draw Calls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Modular Groß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1">
                  <c:v>34655</c:v>
                </c:pt>
                <c:pt idx="2">
                  <c:v>20653</c:v>
                </c:pt>
                <c:pt idx="3">
                  <c:v>7355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AE-4C5C-BE33-02A463F117D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Modular Klein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38307</c:v>
                </c:pt>
                <c:pt idx="1">
                  <c:v>10936</c:v>
                </c:pt>
                <c:pt idx="2">
                  <c:v>4651</c:v>
                </c:pt>
                <c:pt idx="3">
                  <c:v>1158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AE-4C5C-BE33-02A463F117D4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Klassisch Groß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1">
                  <c:v>3127</c:v>
                </c:pt>
                <c:pt idx="2">
                  <c:v>1750</c:v>
                </c:pt>
                <c:pt idx="3">
                  <c:v>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EE-4CC1-B636-6420505D3066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Klassisch Klein</c:v>
                </c:pt>
              </c:strCache>
            </c:strRef>
          </c:tx>
          <c:spPr>
            <a:solidFill>
              <a:schemeClr val="accent5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Tabelle1!$A$2:$A$5</c:f>
              <c:strCache>
                <c:ptCount val="4"/>
                <c:pt idx="0">
                  <c:v>500 Gebäude</c:v>
                </c:pt>
                <c:pt idx="1">
                  <c:v>100 Gebäude</c:v>
                </c:pt>
                <c:pt idx="2">
                  <c:v>50 Gebäude</c:v>
                </c:pt>
                <c:pt idx="3">
                  <c:v>10 Gebäude</c:v>
                </c:pt>
              </c:strCache>
            </c:strRef>
          </c:cat>
          <c:val>
            <c:numRef>
              <c:f>Tabelle1!$E$2:$E$5</c:f>
              <c:numCache>
                <c:formatCode>General</c:formatCode>
                <c:ptCount val="4"/>
                <c:pt idx="0">
                  <c:v>7646</c:v>
                </c:pt>
                <c:pt idx="1">
                  <c:v>1402</c:v>
                </c:pt>
                <c:pt idx="2">
                  <c:v>702</c:v>
                </c:pt>
                <c:pt idx="3">
                  <c:v>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EE-4CC1-B636-6420505D30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844005455"/>
        <c:axId val="1842978767"/>
      </c:barChart>
      <c:catAx>
        <c:axId val="1844005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42978767"/>
        <c:crosses val="autoZero"/>
        <c:auto val="1"/>
        <c:lblAlgn val="ctr"/>
        <c:lblOffset val="100"/>
        <c:noMultiLvlLbl val="0"/>
      </c:catAx>
      <c:valAx>
        <c:axId val="184297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4400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B4A2-0B9E-47D1-BDF0-A918201C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Stecker</dc:creator>
  <cp:keywords/>
  <dc:description/>
  <cp:lastModifiedBy>Nikolai Stecker</cp:lastModifiedBy>
  <cp:revision>7</cp:revision>
  <dcterms:created xsi:type="dcterms:W3CDTF">2019-07-09T09:33:00Z</dcterms:created>
  <dcterms:modified xsi:type="dcterms:W3CDTF">2019-08-10T20:04:00Z</dcterms:modified>
</cp:coreProperties>
</file>