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0" w:before="2000"/>
        <w:jc w:val="center"/>
      </w:pPr>
      <w:r>
        <w:rPr>
          <w:rFonts w:ascii="David" w:cs="David" w:eastAsia="David" w:hAnsi="David"/>
          <w:b/>
          <w:bCs/>
          <w:sz w:val="40"/>
          <w:szCs w:val="40"/>
          <w:rtl/>
        </w:rPr>
        <w:t xml:space="preserve">פרק 11 — מצבי הלם, ספסיס ותסמונת אי-ספיקת רב-איברים</w:t>
      </w:r>
    </w:p>
    <w:p>
      <w:pPr>
        <w:bidi/>
        <w:spacing w:after="200"/>
        <w:jc w:val="center"/>
      </w:pPr>
      <w:r>
        <w:rPr>
          <w:rFonts w:ascii="David" w:cs="David" w:eastAsia="David" w:hAnsi="David"/>
          <w:i/>
          <w:iCs/>
          <w:sz w:val="26"/>
          <w:szCs w:val="26"/>
          <w:rtl/>
        </w:rPr>
        <w:t xml:space="preserve">סיכום קליני-סיעודי לפי מסגרת 11 הסעיפים</w:t>
      </w:r>
    </w:p>
    <w:p>
      <w:pPr>
        <w:bidi/>
        <w:jc w:val="center"/>
      </w:pPr>
      <w:r>
        <w:rPr>
          <w:rFonts w:ascii="David" w:cs="David" w:eastAsia="David" w:hAnsi="David"/>
          <w:color w:val="666666"/>
          <w:sz w:val="20"/>
          <w:szCs w:val="20"/>
          <w:rtl/>
        </w:rPr>
        <w:t xml:space="preserve">מבוסס על: Brunner &amp; Suddarth's Textbook of Medical-Surgical Nursing, 15th Edition, Chapter 11</w:t>
      </w:r>
    </w:p>
    <w:p>
      <w:r>
        <w:br w:type="page"/>
      </w:r>
    </w:p>
    <w:p>
      <w:pPr>
        <w:pStyle w:val="Heading1"/>
        <w:bidi/>
        <w:jc w:val="right"/>
      </w:pPr>
      <w:r>
        <w:rPr>
          <w:rFonts w:ascii="David" w:cs="David" w:eastAsia="David" w:hAnsi="David"/>
          <w:rtl/>
        </w:rPr>
        <w:t xml:space="preserve">הלם — מבוא כללי ושלבים</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הלם (Shock) הוא מצב פיזיולוגי מסכן חיים המאופיין בפרפוזיה רקמתית לא מספקת, היוצר חוסר איזון בין אספקת חמצן וחומרים תזונתיים לצרכי התאים. גורמי סיכון וסיבות אפשריות: היפוולמיה (איבוד דם/נוזלים), כשל שאיבה לבבי, חסימת זרימת דם, ופיזור לא תקין של נפח תוך-כלי (וזודילטציה מסיבית).</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כל סוגי ההלם חולקים מנגנון משותף: פרפוזיה רקמתית לא מספקת מפעילה תגובה סימפתטית-אדרנרגית (שחרור קטכולאמינים) הגורמת לווזוקונסטריקציה פריפרית וטכיקרדיה כניסיון פיצוי. ברמה התאית, המחסור בחמצן מכריח את התאים לעבור למטבוליזם אנאירובי, המייצר חומצה לקטית וגורם לחמצת מטבולית. אם המצב נמשך, משתחררים ציטוקינים דלקתיים (תגובה דלקתית מערכתית — SIRS) הפוגעים באנדותל כלי הדם ומחריפים את חדירות הנימים.</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ראשית: מערכת הלב וכלי הדם. סיסטמית: כל האיברים מושפעים מהיפופרפוזיה ממושכת — ריאות (מעבר להיפוקסמיה ו-ARDS), כליות (אוליגוריה עד אנוריה), מערכת העיכול (איסכמיה, פגיעה במחסום הרירית), כבד (עלייה באנזימים), מערכת הקרישה (DIC), ומערכת העצבים המרכזית (בלבול, ירידה בהכרה).</w:t>
      </w:r>
    </w:p>
    <w:p>
      <w:pPr>
        <w:bidi/>
        <w:spacing w:after="140"/>
        <w:jc w:val="right"/>
      </w:pPr>
      <w:r>
        <w:rPr>
          <w:rFonts w:ascii="David" w:cs="David" w:eastAsia="David" w:hAnsi="David"/>
          <w:b/>
          <w:bCs/>
          <w:sz w:val="22"/>
          <w:szCs w:val="22"/>
          <w:rtl/>
        </w:rPr>
        <w:t xml:space="preserve">4. ביטויים קליניים (Signs/Symptoms) </w:t>
      </w:r>
      <w:r>
        <w:rPr>
          <w:rFonts w:ascii="David" w:cs="David" w:eastAsia="David" w:hAnsi="David"/>
          <w:sz w:val="22"/>
          <w:szCs w:val="22"/>
          <w:rtl/>
        </w:rPr>
        <w:t xml:space="preserve">שלב מפצה (Compensatory): חרדה קלה, טכיקרדיה קלה, ל"ד תקין בזכות מנגנוני פיצוי, עור קריר ולח (בהלם היפוולמי/קרדיוגני). שלב מתקדם (Progressive): ל"ד יורד באופן ברור, טכיקרדיה בולטת, אוליגוריה, בלבול, חמצת מטבולית מחמירה. שלב בלתי הפיך (Irreversible/Refractory): כשל רב-איברי, ל"ד קריטי שאינו מגיב לטיפול, אנוריה — שלב זה לרוב מוביל למוות.</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אנמנזה: איתור גורם/אירוע (דימום, אוטם, זיהום, אלרגיה). בדיקה גופנית ומדדים חיוניים: ל"ד סיסטולי &lt;90 מ"מ כספית או ירידה &gt;40 מ"מ מהבסיס = אזהרה; דופק &gt;100/דק'; קצב נשימות &gt;22/דק'. מעבדה: רמת לקטט (ערך תקין &lt;2 mmol/L; מעל 2 = אזהרה, מעל 4 = חמור ומנבא תמותה), Base deficit, גזים בדם עורקי, אלקטרוליטים, תפקודי קרישה. תפוקת שתן: פחות מ-0.5 מ"ל/ק"ג/שעה = סימן אזהרה לפרפוזיה כלייתית לקויה. ניטור המודינמי פולשני (קו עורקי, CVP, במקרים קשים צנתר עורק ריאה) והדמיה (אקו לב, US).</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תסמונת אי-ספיקת רב-איברים (MODS), קרישה תוך-כלית מפושטת (DIC), תסמונת מצוקה נשימתית חריפה (ARDS), אי-ספיקת כליות חריפה (AKI), מוות.</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המטרה המרכזית: שחזור פרפוזיה רקמתית מספקת. נוזלים IV — קריסטלואידים איזוטוניים (Normal Saline, Ringer's Lactate) הם קו ראשון ברוב סוגי ההלם (למעט קרדיוגני, שם יש להיזהר מהעמסת נוזלים). תרופות וזואקטיביות (נוראפינפרין כקו ראשון בהלם ספטי/דיסטריבוטיבי, דובוטמין להלם קרדיוגני) בהתאם לסוג ההלם. טיפול בגורם הבסיסי (עצירת דימום, השבת פרפוזיה כלילית, אנטיביוטיקה). תמיכה נשימתית לפי הצורך (חמצן עד הנשמה מלאכותית).</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אבחנות סיעודיות מרכזיות: פרפוזיה רקמתית לא יעילה, סיכון לחוסר איזון נוזלים, חרדה. התערבויות: ניטור תכוף ורציף של סימנים חיוניים, מאזן נוזלים ותפוקת שתן; מתן נוזלים ותרופות וזואקטיביות לפי הוראה תוך ניטור תגובה; מיקום המטופל (הרמת רגליים — Modified Trendelenburg — מומלצת יותר מטרנדלנבורג קלאסי); תמיכה רגשית למטופל ולמשפחה. הערכה: מעקב רציף אחר יעדי הטיפול ותגובת המטופל.</w:t>
      </w:r>
    </w:p>
    <w:p>
      <w:pPr>
        <w:bidi/>
        <w:spacing w:after="140"/>
        <w:jc w:val="right"/>
      </w:pPr>
      <w:r>
        <w:rPr>
          <w:rFonts w:ascii="David" w:cs="David" w:eastAsia="David" w:hAnsi="David"/>
          <w:b/>
          <w:bCs/>
          <w:sz w:val="22"/>
          <w:szCs w:val="22"/>
          <w:rtl/>
        </w:rPr>
        <w:t xml:space="preserve">9. תזונה / אורח חיים / חינוך מטופל </w:t>
      </w:r>
      <w:r>
        <w:rPr>
          <w:rFonts w:ascii="David" w:cs="David" w:eastAsia="David" w:hAnsi="David"/>
          <w:sz w:val="22"/>
          <w:szCs w:val="22"/>
          <w:rtl/>
        </w:rPr>
        <w:t xml:space="preserve">תמיכה תזונתית מוקדמת, רצוי אנטרלית אם המצב ההמודינמי מאפשר, למניעת קטבוליזם ותמיכה בריפוי. חינוך המשפחה לגבי חומרת המצב, תהליך קבלת ההחלטות, וטיפול פליאטיבי כאשר רלוונטי.</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ייצוב סימנים חיוניים (ל"ד, דופק, נשימות בטווח תקין), ירידת רמת הלקטט לנורמה, תפוקת שתן תקינה (מעל 0.5 מ"ל/ק"ג/שעה), מניעת התקדמות ל-MODS, שיפור מצב ההכרה.</w:t>
      </w:r>
    </w:p>
    <w:p>
      <w:pPr>
        <w:bidi/>
        <w:spacing w:after="140"/>
        <w:jc w:val="right"/>
      </w:pPr>
      <w:r>
        <w:rPr>
          <w:rFonts w:ascii="David" w:cs="David" w:eastAsia="David" w:hAnsi="David"/>
          <w:b/>
          <w:bCs/>
          <w:sz w:val="22"/>
          <w:szCs w:val="22"/>
          <w:rtl/>
        </w:rPr>
        <w:t xml:space="preserve">11. השוואה </w:t>
      </w:r>
      <w:r>
        <w:rPr>
          <w:rFonts w:ascii="David" w:cs="David" w:eastAsia="David" w:hAnsi="David"/>
          <w:sz w:val="22"/>
          <w:szCs w:val="22"/>
          <w:rtl/>
        </w:rPr>
        <w:t xml:space="preserve">ראה טבלת השוואה מרכזת בסוף המסמך, המשווה בין סוגי ההלם השונים לפי פרמטרים המודינמיים (CO, SVR, Preload) וממצאים קליניים אופייניים.</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הלם (Shock) הוא מצב פיזיולוגי מסכן חיים המאופיין בפרפוזיה רקמתית לא מספקת, היוצר חוסר איזון בין אספקת חמצן וחומרים תזונתיים לצרכי התאים.</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כל סוגי ההלם חולקים מנגנון משותף: פרפוזיה רקמתית לא מספקת מפעילה תגובה סימפתטית-אדרנרגית (שחרור קטכולאמינים) הגורמת לווזוקונסטריקציה פריפרית וטכיקרדיה כניסיון פיצוי.</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ראשית: מערכת הלב וכלי הדם.</w:t>
      </w:r>
    </w:p>
    <w:p>
      <w:pPr>
        <w:bidi/>
        <w:spacing w:after="140"/>
        <w:jc w:val="right"/>
      </w:pPr>
      <w:r>
        <w:rPr>
          <w:rFonts w:ascii="David" w:cs="David" w:eastAsia="David" w:hAnsi="David"/>
          <w:b/>
          <w:bCs/>
          <w:sz w:val="22"/>
          <w:szCs w:val="22"/>
          <w:rtl/>
        </w:rPr>
        <w:t xml:space="preserve">4. ביטויים קליניים (Signs/Symptoms) </w:t>
      </w:r>
      <w:r>
        <w:rPr>
          <w:rFonts w:ascii="David" w:cs="David" w:eastAsia="David" w:hAnsi="David"/>
          <w:sz w:val="22"/>
          <w:szCs w:val="22"/>
          <w:rtl/>
        </w:rPr>
        <w:t xml:space="preserve">שלב מפצה (Compensatory): חרדה קלה, טכיקרדיה קלה, ל"ד תקין בזכות מנגנוני פיצוי, עור קריר ולח (בהלם היפוולמי/קרדיוגני).</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אנמנזה: איתור גורם/אירוע (דימום, אוטם, זיהום, אלרגיה).</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תסמונת אי-ספיקת רב-איברים (MODS), קרישה תוך-כלית מפושטת (DIC), תסמונת מצוקה נשימתית חריפה (ARDS), אי-ספיקת כליות חריפה (AKI), מוות.</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המטרה המרכזית: שחזור פרפוזיה רקמתית מספקת.</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אבחנות סיעודיות מרכזיות: פרפוזיה רקמתית לא יעילה, סיכון לחוסר איזון נוזלים, חרדה.</w:t>
      </w:r>
    </w:p>
    <w:p>
      <w:pPr>
        <w:bidi/>
        <w:spacing w:after="140"/>
        <w:jc w:val="right"/>
      </w:pPr>
      <w:r>
        <w:rPr>
          <w:rFonts w:ascii="David" w:cs="David" w:eastAsia="David" w:hAnsi="David"/>
          <w:b/>
          <w:bCs/>
          <w:sz w:val="22"/>
          <w:szCs w:val="22"/>
          <w:rtl/>
        </w:rPr>
        <w:t xml:space="preserve">9. תזונה / אורח חיים / חינוך מטופל </w:t>
      </w:r>
      <w:r>
        <w:rPr>
          <w:rFonts w:ascii="David" w:cs="David" w:eastAsia="David" w:hAnsi="David"/>
          <w:sz w:val="22"/>
          <w:szCs w:val="22"/>
          <w:rtl/>
        </w:rPr>
        <w:t xml:space="preserve">תמיכה תזונתית מוקדמת, רצוי אנטרלית אם המצב ההמודינמי מאפשר, למניעת קטבוליזם ותמיכה בריפוי.</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ייצוב סימנים חיוניים (ל"ד, דופק, נשימות בטווח תקין), ירידת רמת הלקטט לנורמה, תפוקת שתן תקינה (מעל 0.5 מ"ל/ק"ג/שעה), מניעת התקדמות ל-MODS, שיפור מצב ההכרה.</w:t>
      </w:r>
    </w:p>
    <w:p>
      <w:pPr>
        <w:bidi/>
        <w:spacing w:after="140"/>
        <w:jc w:val="right"/>
      </w:pPr>
      <w:r>
        <w:rPr>
          <w:rFonts w:ascii="David" w:cs="David" w:eastAsia="David" w:hAnsi="David"/>
          <w:b/>
          <w:bCs/>
          <w:sz w:val="22"/>
          <w:szCs w:val="22"/>
          <w:rtl/>
        </w:rPr>
        <w:t xml:space="preserve">11. השוואה </w:t>
      </w:r>
      <w:r>
        <w:rPr>
          <w:rFonts w:ascii="David" w:cs="David" w:eastAsia="David" w:hAnsi="David"/>
          <w:sz w:val="22"/>
          <w:szCs w:val="22"/>
          <w:rtl/>
        </w:rPr>
        <w:t xml:space="preserve">ראה טבלת השוואה מרכזת בסוף המסמך, המשווה בין סוגי ההלם השונים לפי פרמטרים המודינמיים (CO, SVR, Preload) וממצאים קליניים אופייניים.</w:t>
      </w:r>
    </w:p>
    <w:p>
      <w:r>
        <w:br w:type="page"/>
      </w:r>
    </w:p>
    <w:p>
      <w:pPr>
        <w:pStyle w:val="Heading1"/>
        <w:bidi/>
        <w:jc w:val="right"/>
      </w:pPr>
      <w:r>
        <w:rPr>
          <w:rFonts w:ascii="David" w:cs="David" w:eastAsia="David" w:hAnsi="David"/>
          <w:rtl/>
        </w:rPr>
        <w:t xml:space="preserve">הלם היפוולמי (Hypovolemic Shock)</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הלם הנגרם מירידה בנפח התוך-כלי ב-15%–30% (איבוד של כ-750–1500 מ"ל דם באדם במשקל 70 ק"ג). גורמי סיכון: איבוד נוזלים חיצוני (דימום טראומטי, כירורגי, GI) או פנימי (בצקת מסיבית, מיימת, כוויות נרחבות, הקאות/שלשולים קשים).</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ירידת נפח תוך-כלי → ירידת Preload → ירידת נפח פעימה ותפוקת לב (CO) → הפעלת מנגנוני פיצוי סימפתטיים (וזוקונסטריקציה, טכיקרדיה) ומערכת RAAS לשימור נוזלים.</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קרדיווסקולרית (ראשית), כלייתית (אוליגוריה כתוצאה מפיצוי הורמונלי), עורית (עור קר, לח וחיוור עקב וזוקונסטריקציה פריפרית).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טכיקרדיה, היפוטנסיה (בשלבים מתקדמים), עור קר ולח וחיוור, זמן מילוי קפילרי מוארך (&gt;2 שניות), צמא עז, חולשה, בלבול בשלבים מתקדמים, אוליגוריה.</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אנמנזה ממוקדת (טראומה, ניתוח, דימום, הקאות/שלשולים). בדיקות: המוגלובין/המטוקריט (עלולים להיות תקינים בתחילת דימום חריף לפני דילול), אלקטרוליטים, ל"ד ודופק בשכיבה מול עמידה (בדיקת אורתוסטטיזם), לקטט.</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MODS, אי-ספיקת כליות חריפה, DIC אם ההלם ממושך.</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עצירת מקור האיבוד (כירורגית או שמרנית). מתן נוזלים IV מהיר — קריסטלואידים איזוטוניים כקו ראשון. עירוי מנות דם/רכיבי דם אם מדובר בדימום משמעותי. תרופות וזופרסוריות ניתנות רק לאחר מתן נוזלים מספק ואם עדיין קיימת היפוטנסיה.</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מתן נוזלים/דם לפי הוראה תוך ניטור עומס נוזלים; ניטור תפוקת שתן שעתי; ניטור סימנים חיוניים תכוף; זיהוי מוקדם של סימני החמרה.</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תמיכה תזונתית לאחר ייצוב המודינמי; חינוך לגבי מניעת התייבשות במקרים כרוניים (כגון הקאות/שלשולים חוזרים).</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החזרת נפח תוך-כלי תקין, ל"ד ודופק בטווח תקין, תפוקת שתן &gt;0.5 מ"ל/ק"ג/שעה, עור חם ויבש.</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הלם הנגרם מירידה בנפח התוך-כלי ב-15%–30% (איבוד של כ-750–1500 מ"ל דם באדם במשקל 70 ק"ג).</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ירידת נפח תוך-כלי → ירידת Preload → ירידת נפח פעימה ותפוקת לב (CO) → הפעלת מנגנוני פיצוי סימפתטיים (וזוקונסטריקציה, טכיקרדיה) ומערכת RAAS לשימור נוזלים.</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קרדיווסקולרית (ראשית), כלייתית (אוליגוריה כתוצאה מפיצוי הורמונלי), עורית (עור קר, לח וחיוור עקב וזוקונסטריקציה פריפרית).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טכיקרדיה, היפוטנסיה (בשלבים מתקדמים), עור קר ולח וחיוור, זמן מילוי קפילרי מוארך (&gt;2 שניות), צמא עז, חולשה, בלבול בשלבים מתקדמים, אוליגוריה.</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אנמנזה ממוקדת (טראומה, ניתוח, דימום, הקאות/שלשולים).</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MODS, אי-ספיקת כליות חריפה, DIC אם ההלם ממושך.</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עצירת מקור האיבוד (כירורגית או שמרנית).</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מתן נוזלים/דם לפי הוראה תוך ניטור עומס נוזלים;</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תמיכה תזונתית לאחר ייצוב המודינמי;</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החזרת נפח תוך-כלי תקין, ל"ד ודופק בטווח תקין, תפוקת שתן &gt;0.5 מ"ל/ק"ג/שעה, עור חם ויבש.</w:t>
      </w:r>
    </w:p>
    <w:p>
      <w:r>
        <w:br w:type="page"/>
      </w:r>
    </w:p>
    <w:p>
      <w:pPr>
        <w:pStyle w:val="Heading1"/>
        <w:bidi/>
        <w:jc w:val="right"/>
      </w:pPr>
      <w:r>
        <w:rPr>
          <w:rFonts w:ascii="David" w:cs="David" w:eastAsia="David" w:hAnsi="David"/>
          <w:rtl/>
        </w:rPr>
        <w:t xml:space="preserve">הלם קרדיוגני (Cardiogenic Shock)</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הלם הנגרם מכשל של הלב לשאוב דם כראוי, כך שאספקת החמצן ללב ולרקמות אינה מספקת. גורם שכיח ביותר: אוטם שריר הלב נרחב (במיוחד קרדי דופן קדמית), אך יכול לנבוע גם מסיבות לא-כליליות כגון קרדיומיופתיה, הפרעות קצב חמורות או מסתמיות.</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פגיעה בשריר הלב → ירידת תפוקת לב → היפופרפוזיה כללית וכלילית → החמרת האיסכמיה בלב עצמו — מעגל קסמים המחמיר את הכשל.</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קרדיווסקולרית (ראשית), ריאתית (בצקת ריאות עקב גודש ורידי-ריאתי).</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היפוטנסיה, טכיקרדיה, קוצר נשימה, גודש ריאתי עם קרפיטציות בהאזנה, עור קר ולח וחיוור/ציאנוטי, ירידה בתפוקת שתן, כאבים בחזה, בלבול.</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אקו לב (הערכת תפקוד חדר שמאל), אנזימי לב (טרופונין מוגבר), א.ק.ג (סימני איסכמיה/אוטם), צנתור עורק ריאה — PAWP (Pulmonary Artery Wedge Pressure) מוגבר מעל 18 מ"מ כספית.</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בצקת ריאות חריפה, הפרעות קצב קטלניות, MODS, מוות.</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השבת פרפוזיה כלילית — צנתור וסטנטינג (PCI) או תרומבוליזה בהתאם לזמינות ולזמן; תרופות אינוטרופיות (דובוטמין, מילרינון) לשיפור כיווץ הלב; משאבת בלון תוך-אבי-העורקים (IABP) או מכשור תמיכה מכנית מתקדם במקרים קשים; הגבלת נוזלים — בניגוד להלם היפוולמי, מתן נוזלים עודף מחמיר את הגודש הריאתי.</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ניטור המודינמי צמוד (ל"ד, סטורציה, תפוקת שתן), הגבלת מאמץ גופני להפחתת עומס על הלב, ניטור סימני גודש ריאתי (קרפיטציות, קוצר נשימה), מתן חמצן.</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הגבלת נתרן ונוזלים בתזונה; חינוך המטופל למניעת גורמי סיכון קרדיווסקולריים לאחר ההחלמה.</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שיפור תפוקת הלב, הפחתת גודש ריאתי, ייצוב סימנים חיוניים, מניעת אירועים איסכמיים חוזרים.</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הלם הנגרם מכשל של הלב לשאוב דם כראוי, כך שאספקת החמצן ללב ולרקמות אינה מספקת.</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פגיעה בשריר הלב → ירידת תפוקת לב → היפופרפוזיה כללית וכלילית → החמרת האיסכמיה בלב עצמו — מעגל קסמים המחמיר את הכשל.</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קרדיווסקולרית (ראשית), ריאתית (בצקת ריאות עקב גודש ורידי-ריאתי).</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היפוטנסיה, טכיקרדיה, קוצר נשימה, גודש ריאתי עם קרפיטציות בהאזנה, עור קר ולח וחיוור/ציאנוטי, ירידה בתפוקת שתן, כאבים בחזה, בלבול.</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אקו לב (הערכת תפקוד חדר שמאל), אנזימי לב (טרופונין מוגבר), א.ק.ג (סימני איסכמיה/אוטם), צנתור עורק ריאה — PAWP (Pulmonary Artery Wedge Pressure) מוגבר מעל 18 מ"מ כספית.</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בצקת ריאות חריפה, הפרעות קצב קטלניות, MODS, מוות.</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השבת פרפוזיה כלילית — צנתור וסטנטינג (PCI) או תרומבוליזה בהתאם לזמינות ולזמן;</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ניטור המודינמי צמוד (ל"ד, סטורציה, תפוקת שתן), הגבלת מאמץ גופני להפחתת עומס על הלב, ניטור סימני גודש ריאתי (קרפיטציות, קוצר נשימה), מתן חמצן.</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הגבלת נתרן ונוזלים בתזונה;</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שיפור תפוקת הלב, הפחתת גודש ריאתי, ייצוב סימנים חיוניים, מניעת אירועים איסכמיים חוזרים.</w:t>
      </w:r>
    </w:p>
    <w:p>
      <w:r>
        <w:br w:type="page"/>
      </w:r>
    </w:p>
    <w:p>
      <w:pPr>
        <w:pStyle w:val="Heading1"/>
        <w:bidi/>
        <w:jc w:val="right"/>
      </w:pPr>
      <w:r>
        <w:rPr>
          <w:rFonts w:ascii="David" w:cs="David" w:eastAsia="David" w:hAnsi="David"/>
          <w:rtl/>
        </w:rPr>
        <w:t xml:space="preserve">ספסיס והלם ספטי (Sepsis and Septic Shock)</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ספסיס מוגדר (Sepsis-3) כתפקוד איברים מסכן חיים הנגרם מתגובה מווסתת לא-תקין של הגוף לזיהום. הלם ספטי הוא תת-קבוצה של ספסיס בה קיימות הפרעות מחזוריות ומטבוליות-תאיות עמוקות דיין להגביר משמעותית את הסיכון לתמותה. הלם ספטי הוא הסוג השכיח ביותר של הלם דיסטריבוטיבי. גורם: זיהום מפושט (חיידקי לרוב, אך גם פטרייתי/ויראלי).</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תגובה חיסונית לא-מבוקרת לזיהום גורמת לשחרור מסיבי של ציטוקינים דלקתיים, המובילים לוזודילטציה מערכתית, עלייה בחדירות הנימים (בריחת נוזלים לרקמות) וקרישיות יתר מיקרו-וסקולרית (עלולה להתקדם ל-DIC).</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כל המערכות: קרדיווסקולרית (וזודילטציה, ירידת תנגודת פריפרית), נשימתית (סיכון ל-ARDS), כלייתית, קרישה, מערכת עצבים מרכזית (שינויי הכרה).</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שלב מוקדם ('הלם חם'): חום גבוה, עור חם, אדום ויבש, טכיקרדיה, טכיפניאה, ל"ד תקין או גבולי. שלב מתקדם ('הלם קר'): היפוטנסיה שאינה מגיבה למתן נוזלים, עור קר ולח, אוליגוריה, בלבול/ירידה בהכרה.</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כלי הערכה: qSOFA ו-SOFA score (הערכת תפקוד איברים), תרביות דם ומקורות אחרים לפני מתן אנטיביוטיקה, רמת לקטט בסרום, ספירת דם לבנה (לרוב מוגברת, לעיתים נמוכה), CRP/פרוקלציטונין.</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DIC, ARDS, MODS, תמותה — ספסיס וספסיס-הלם נושאים שיעורי תמותה גבוהים משמעותית מיתר סוגי ההלם.</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פרוטוקול Surviving Sepsis Campaign: מתן אנטיביוטיקה רחבת-טווח תוך שעה מהזיהוי; מתן נוזלים אגרסיבי (כ-30 מ"ל/ק"ג קריסטלואידים בשעה הראשונה); וזופרסורים — נוראפינפרין כתרופת קו ראשון אם ל"ד לא מגיב לנוזלים; איתור ובקרת מקור הזיהום (ניקוז מורסה, הסרת קטטר נגוע וכו').</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זיהוי מוקדם באמצעות כלי סקר (qSOFA/NEWS), מתן אנטיביוטיקה בזמן (Time-critical), ניטור המודינמי ותפוקת שתן, מניעת זיהומים נוספים (הקפדה על אספסיס בקווי IV וקטטרים).</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תמיכה תזונתית מוקדמת (אנטרלית מוקדמת מומלצת ברוב המקרים), חינוך המטופל/משפחה לגבי סימני אזהרה לזיהום חוזר.</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פתרון מקור הזיהום, ייצוב המודינמי, נורמליזציה של לקטט, מניעת התקדמות ל-MODS.</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ספסיס מוגדר (Sepsis-3) כתפקוד איברים מסכן חיים הנגרם מתגובה מווסתת לא-תקין של הגוף לזיהום.</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תגובה חיסונית לא-מבוקרת לזיהום גורמת לשחרור מסיבי של ציטוקינים דלקתיים, המובילים לוזודילטציה מערכתית, עלייה בחדירות הנימים (בריחת נוזלים לרקמות) וקרישיות יתר מיקרו-וסקולרית (עלולה להתקדם ל-DIC).</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כל המערכות: קרדיווסקולרית (וזודילטציה, ירידת תנגודת פריפרית), נשימתית (סיכון ל-ARDS), כלייתית, קרישה, מערכת עצבים מרכזית (שינויי הכרה).</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שלב מוקדם ('הלם חם'): חום גבוה, עור חם, אדום ויבש, טכיקרדיה, טכיפניאה, ל"ד תקין או גבולי.</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כלי הערכה: qSOFA ו-SOFA score (הערכת תפקוד איברים), תרביות דם ומקורות אחרים לפני מתן אנטיביוטיקה, רמת לקטט בסרום, ספירת דם לבנה (לרוב מוגברת, לעיתים נמוכה), CRP/פרוקלציטונין.</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DIC, ARDS, MODS, תמותה — ספסיס וספסיס-הלם נושאים שיעורי תמותה גבוהים משמעותית מיתר סוגי ההלם.</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פרוטוקול Surviving Sepsis Campaign: מתן אנטיביוטיקה רחבת-טווח תוך שעה מהזיהוי;</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זיהוי מוקדם באמצעות כלי סקר (qSOFA/NEWS), מתן אנטיביוטיקה בזמן (Time-critical), ניטור המודינמי ותפוקת שתן, מניעת זיהומים נוספים (הקפדה על אספסיס בקווי IV וקטטרים).</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תמיכה תזונתית מוקדמת (אנטרלית מוקדמת מומלצת ברוב המקרים), חינוך המטופל/משפחה לגבי סימני אזהרה לזיהום חוזר.</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פתרון מקור הזיהום, ייצוב המודינמי, נורמליזציה של לקטט, מניעת התקדמות ל-MODS.</w:t>
      </w:r>
    </w:p>
    <w:p>
      <w:r>
        <w:br w:type="page"/>
      </w:r>
    </w:p>
    <w:p>
      <w:pPr>
        <w:pStyle w:val="Heading1"/>
        <w:bidi/>
        <w:jc w:val="right"/>
      </w:pPr>
      <w:r>
        <w:rPr>
          <w:rFonts w:ascii="David" w:cs="David" w:eastAsia="David" w:hAnsi="David"/>
          <w:rtl/>
        </w:rPr>
        <w:t xml:space="preserve">הלם נוירוגני (Neurogenic Shock)</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הלם דיסטריבוטיבי הנגרם מאובדן טונוס סימפתטי, לרוב עקב פגיעה בחוט השדרה, הרדמה ספינלית, או פגיעה עצבית אחרת.</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אובדן שליטה סימפתטית מוביל לוזודילטציה מסיבית ללא מנגנון פיצוי טכיקרדי — בניגוד לסוגי הלם אחרים.</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קרדיווסקולרית ומערכת העצבים האוטונומית.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ברדיקרדיה (במקום טכיקרדיה האופיינית לסוגי הלם אחרים), עור חם ויבש, היפוטנסיה משמעותית.</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היסטוריה של פגיעה בחוט השדרה או הרדמה ספינלית/אפידורלית לאחרונה; שלילת גורמים אחרים להלם.</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היפותרמיה (עקב אובדן ויסות וזומוטורי), MODS אם ממושך.</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מתן נוזלים IV, תרופות וזופרסוריות, אטרופין לטיפול בברדיקרדיה משמעותית.</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ניטור קצב לב וסימנים חיוניים, שמירה על חום גוף (מניעת היפותרמיה), טיפול תומך.</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תמיכה תזונתית כללית בהתאם למצב הנוירולוגי הבסיסי.</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ייצוב המודינמי, שמירה על חום גוף תקין, מניעת סיבוכים משניים.</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הלם דיסטריבוטיבי הנגרם מאובדן טונוס סימפתטי, לרוב עקב פגיעה בחוט השדרה, הרדמה ספינלית, או פגיעה עצבית אחרת.</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אובדן שליטה סימפתטית מוביל לוזודילטציה מסיבית ללא מנגנון פיצוי טכיקרדי — בניגוד לסוגי הלם אחרים.</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קרדיווסקולרית ומערכת העצבים האוטונומית.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ברדיקרדיה (במקום טכיקרדיה האופיינית לסוגי הלם אחרים), עור חם ויבש, היפוטנסיה משמעותית.</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היסטוריה של פגיעה בחוט השדרה או הרדמה ספינלית/אפידורלית לאחרונה;</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היפותרמיה (עקב אובדן ויסות וזומוטורי), MODS אם ממושך.</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מתן נוזלים IV, תרופות וזופרסוריות, אטרופין לטיפול בברדיקרדיה משמעותית.</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ניטור קצב לב וסימנים חיוניים, שמירה על חום גוף (מניעת היפותרמיה), טיפול תומך.</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תמיכה תזונתית כללית בהתאם למצב הנוירולוגי הבסיסי.</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ייצוב המודינמי, שמירה על חום גוף תקין, מניעת סיבוכים משניים.</w:t>
      </w:r>
    </w:p>
    <w:p>
      <w:r>
        <w:br w:type="page"/>
      </w:r>
    </w:p>
    <w:p>
      <w:pPr>
        <w:pStyle w:val="Heading1"/>
        <w:bidi/>
        <w:jc w:val="right"/>
      </w:pPr>
      <w:r>
        <w:rPr>
          <w:rFonts w:ascii="David" w:cs="David" w:eastAsia="David" w:hAnsi="David"/>
          <w:rtl/>
        </w:rPr>
        <w:t xml:space="preserve">הלם אנפילקטי (Anaphylactic Shock)</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הלם דיסטריבוטיבי הנגרם מתגובה אלרגית חמורה (IgE-מתווכת) לאלרגן שהמטופל כבר רגיש אליו — לרוב מזון (בוטנים), תרופות, או עקיצות חרקים.</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תגובת אנטיגן-נוגדן מפעילה תאי פיטום לשחרר היסטמין וחומרים ואזואקטיביים נוספים, הגורמים לוזודילטציה מסיבית ולעלייה בחדירות נימים.</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נשימתית (חסימת דרכי אוויר, ברונכוספזם), עורית (אורטיקריה, בצקת), קרדיווסקולרית (היפוטנסיה).</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קוצר נשימה פתאומי וסטרידור, פריחה/אורטיקריה, בצקת בגרון/פנים, היפוטנסיה חדה, תחושת אימה.</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אנמנזה מהירה של חשיפה לאלרגן, זיהוי קליני מיידי — האבחון נעשה קלינית ומהר, ללא זמן לבדיקות מעבדה.</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חסימת דרכי אוויר מלאה, דום לב-נשימה, מוות תוך דקות ללא טיפול.</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אפינפרין IM (בירך, אמצע-חיצוני) — טיפול קו ראשון ומיידי; אנטיהיסטמינים וסטרואידים כטיפול משלים; מתן נוזלים IV; טיפול נתיב אוויר דחוף.</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זיהוי מהיר של הסימנים, מתן אפינפרין ללא דיחוי, ניהול נתיב אוויר, ניטור צמוד.</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חינוך להימנעות מהאלרגן הידוע, נשיאת עט-אפינפרין (EpiPen) עצמית, צמיד רפואי מזהה.</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פתיחת נתיב אוויר, ייצוב ל"ד, חלוף התסמינים ללא סיבוכים.</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הלם דיסטריבוטיבי הנגרם מתגובה אלרגית חמורה (IgE-מתווכת) לאלרגן שהמטופל כבר רגיש אליו — לרוב מזון (בוטנים), תרופות, או עקיצות חרקים.</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תגובת אנטיגן-נוגדן מפעילה תאי פיטום לשחרר היסטמין וחומרים ואזואקטיביים נוספים, הגורמים לוזודילטציה מסיבית ולעלייה בחדירות נימים.</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נשימתית (חסימת דרכי אוויר, ברונכוספזם), עורית (אורטיקריה, בצקת), קרדיווסקולרית (היפוטנסיה).</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קוצר נשימה פתאומי וסטרידור, פריחה/אורטיקריה, בצקת בגרון/פנים, היפוטנסיה חדה, תחושת אימה.</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אנמנזה מהירה של חשיפה לאלרגן, זיהוי קליני מיידי — האבחון נעשה קלינית ומהר, ללא זמן לבדיקות מעבדה.</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חסימת דרכי אוויר מלאה, דום לב-נשימה, מוות תוך דקות ללא טיפול.</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אפינפרין IM (בירך, אמצע-חיצוני) — טיפול קו ראשון ומיידי;</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זיהוי מהיר של הסימנים, מתן אפינפרין ללא דיחוי, ניהול נתיב אוויר, ניטור צמוד.</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חינוך להימנעות מהאלרגן הידוע, נשיאת עט-אפינפרין (EpiPen) עצמית, צמיד רפואי מזהה.</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פתיחת נתיב אוויר, ייצוב ל"ד, חלוף התסמינים ללא סיבוכים.</w:t>
      </w:r>
    </w:p>
    <w:p>
      <w:r>
        <w:br w:type="page"/>
      </w:r>
    </w:p>
    <w:p>
      <w:pPr>
        <w:pStyle w:val="Heading1"/>
        <w:bidi/>
        <w:jc w:val="right"/>
      </w:pPr>
      <w:r>
        <w:rPr>
          <w:rFonts w:ascii="David" w:cs="David" w:eastAsia="David" w:hAnsi="David"/>
          <w:rtl/>
        </w:rPr>
        <w:t xml:space="preserve">תסמונת אי-ספיקת רב-איברים (MODS)</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תפקוד לקוי מתקדם של שני איברים או יותר בחולה חריף, במידה המצריכה התערבות רפואית לתמיכה בהמשך תפקודם. שכיח ביותר כסיבוך של ספסיס/הלם ספטי, אך יכול לנבוע מכל סוג של הלם ממושך, טראומה קשה או דלקת לבלב חריפה.</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תגובה דלקתית מערכתית לא-מבוקרת (SIRS) גורמת לפגיעה נרחבת באנדותל כלי הדם, יצירת מיקרו-קרישים (מיקרותרומבוזיס) והפרעה בזרימת הדם המיקרו-וסקולרית, המובילים לאיסכמיה מתקדמת בריבוי איברים.</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ריאות — לרוב הראשונות להיפגע (ARDS); כליות — אי-ספיקה כלייתית חריפה; כבד — עלייה באנזימים ובבילירובין; מערכת הקרישה — DIC; מערכת עצבים מרכזית — אנצפלופתיה.</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היפוקסמיה מתקדמת, אוליגוריה עד אנוריה, עלייה בבילירובין ובאנזימי כבד, קרישיות לא תקינה (דימומים ספונטניים), שינויי הכרה מבלבול ועד תרדמת.</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קריטריוני ניקוד כגון SOFA score או APACHE II להערכת חומרת הכשל בכל מערכת; בדיקות מעבדה מרובות מערכות (גזים בדם, תפקודי כליה וכבד, קרישה, ספירת דם).</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תמותה גבוהה מאוד — עולה משמעותית עם מספר האיברים הכושלים (עד קרוב ל-100% תמותה בכשל של 3 מערכות ומעלה).</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תמיכה איברית לפי הצורך — הנשמה מכנית, דיאליזה/המופילטרציה, תרופות וזואקטיביות; טיפול אגרסיבי בגורם הבסיסי (זיהום, הלם); מניעת סיבוכים משניים.</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ניטור רב-מערכתי צמוד, מניעת זיהומים נוזוקומיים נוספים (VAP — דלקת ריאות הקשורה למנשם, CLABSI — זיהום קו מרכזי), תמיכה פסיכוסוציאלית אינטנסיבית למשפחה נוכח הפרוגנוזה הקשה, שיתוף בקבלת החלטות טיפוליות (כולל שיקולי טיפול פליאטיבי).</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תמיכה תזונתית מוקדמת, רצוי אנטרלית, למניעת אטרופיה של רירית המעי ותמיכה מטבולית; חינוך משפחה מתמשך.</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ייצוב תפקוד האיברים הפגועים, מניעת החמרה נוספת, במקרים קשים — מיקוד במניעת סבל והבטחת מוות בכבוד.</w:t>
      </w:r>
    </w:p>
    <w:p>
      <w:pPr>
        <w:bidi/>
        <w:spacing w:after="140"/>
        <w:jc w:val="right"/>
      </w:pPr>
      <w:r>
        <w:rPr>
          <w:rFonts w:ascii="David" w:cs="David" w:eastAsia="David" w:hAnsi="David"/>
          <w:b/>
          <w:bCs/>
          <w:sz w:val="22"/>
          <w:szCs w:val="22"/>
          <w:rtl/>
        </w:rPr>
        <w:t xml:space="preserve">11. השוואה </w:t>
      </w:r>
      <w:r>
        <w:rPr>
          <w:rFonts w:ascii="David" w:cs="David" w:eastAsia="David" w:hAnsi="David"/>
          <w:sz w:val="22"/>
          <w:szCs w:val="22"/>
          <w:rtl/>
        </w:rPr>
        <w:t xml:space="preserve">MODS ראשוני — נגרם מפגיעה ישירה באיבר (למשל חבלת ריאה קשה); MODS שניוני — מתפתח כתוצאה מתגובה דלקתית מערכתית (SIRS) שאינה קשורה ישירות לאיבר הראשון שנפגע, ולרוב מופיע ימים לאחר האירוע המקורי.</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תפקוד לקוי מתקדם של שני איברים או יותר בחולה חריף, במידה המצריכה התערבות רפואית לתמיכה בהמשך תפקודם.</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תגובה דלקתית מערכתית לא-מבוקרת (SIRS) גורמת לפגיעה נרחבת באנדותל כלי הדם, יצירת מיקרו-קרישים (מיקרותרומבוזיס) והפרעה בזרימת הדם המיקרו-וסקולרית, המובילים לאיסכמיה מתקדמת בריבוי איברים.</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ריאות — לרוב הראשונות להיפגע (ARDS);</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היפוקסמיה מתקדמת, אוליגוריה עד אנוריה, עלייה בבילירובין ובאנזימי כבד, קרישיות לא תקינה (דימומים ספונטניים), שינויי הכרה מבלבול ועד תרדמת.</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קריטריוני ניקוד כגון SOFA score או APACHE II להערכת חומרת הכשל בכל מערכת;</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תמותה גבוהה מאוד — עולה משמעותית עם מספר האיברים הכושלים (עד קרוב ל-100% תמותה בכשל של 3 מערכות ומעלה).</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תמיכה איברית לפי הצורך — הנשמה מכנית, דיאליזה/המופילטרציה, תרופות וזואקטיביות;</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ניטור רב-מערכתי צמוד, מניעת זיהומים נוזוקומיים נוספים (VAP — דלקת ריאות הקשורה למנשם, CLABSI — זיהום קו מרכזי), תמיכה פסיכוסוציאלית אינטנסיבית למשפחה נוכח הפרוגנוזה הקשה, שיתוף בקבלת החלטות טיפוליות (כולל שיקולי טיפול פליאטיבי).</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תמיכה תזונתית מוקדמת, רצוי אנטרלית, למניעת אטרופיה של רירית המעי ותמיכה מטבולית;</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ייצוב תפקוד האיברים הפגועים, מניעת החמרה נוספת, במקרים קשים — מיקוד במניעת סבל והבטחת מוות בכבוד.</w:t>
      </w:r>
    </w:p>
    <w:p>
      <w:pPr>
        <w:bidi/>
        <w:spacing w:after="140"/>
        <w:jc w:val="right"/>
      </w:pPr>
      <w:r>
        <w:rPr>
          <w:rFonts w:ascii="David" w:cs="David" w:eastAsia="David" w:hAnsi="David"/>
          <w:b/>
          <w:bCs/>
          <w:sz w:val="22"/>
          <w:szCs w:val="22"/>
          <w:rtl/>
        </w:rPr>
        <w:t xml:space="preserve">11. השוואה </w:t>
      </w:r>
      <w:r>
        <w:rPr>
          <w:rFonts w:ascii="David" w:cs="David" w:eastAsia="David" w:hAnsi="David"/>
          <w:sz w:val="22"/>
          <w:szCs w:val="22"/>
          <w:rtl/>
        </w:rPr>
        <w:t xml:space="preserve">MODS ראשוני — נגרם מפגיעה ישירה באיבר (למשל חבלת ריאה קשה);</w:t>
      </w:r>
    </w:p>
    <w:p>
      <w:r>
        <w:br w:type="page"/>
      </w:r>
    </w:p>
    <w:p>
      <w:pPr>
        <w:pStyle w:val="Heading1"/>
        <w:bidi/>
        <w:jc w:val="right"/>
      </w:pPr>
      <w:r>
        <w:rPr>
          <w:rFonts w:ascii="David" w:cs="David" w:eastAsia="David" w:hAnsi="David"/>
          <w:rtl/>
        </w:rPr>
        <w:t xml:space="preserve">רמה 3 — מקוצר: טבלת השוואה — פרמטרים המודינמיים בסוגי הלם עיקריים</w:t>
      </w:r>
    </w:p>
    <w:p>
      <w:pPr>
        <w:spacing w:after="20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1F4E79" w:val="clear"/>
          </w:tcPr>
          <w:p>
            <w:pPr>
              <w:bidi/>
              <w:jc w:val="right"/>
            </w:pPr>
            <w:r>
              <w:rPr>
                <w:rFonts w:ascii="David" w:cs="David" w:eastAsia="David" w:hAnsi="David"/>
                <w:b/>
                <w:bCs/>
                <w:color w:val="FFFFFF"/>
                <w:sz w:val="20"/>
                <w:szCs w:val="20"/>
                <w:rtl/>
              </w:rPr>
              <w:t xml:space="preserve">סוג הלם</w:t>
            </w:r>
          </w:p>
        </w:tc>
        <w:tc>
          <w:tcPr>
            <w:tcW w:type="dxa" w:w="1500"/>
            <w:shd w:fill="1F4E79" w:val="clear"/>
          </w:tcPr>
          <w:p>
            <w:pPr>
              <w:bidi/>
              <w:jc w:val="right"/>
            </w:pPr>
            <w:r>
              <w:rPr>
                <w:rFonts w:ascii="David" w:cs="David" w:eastAsia="David" w:hAnsi="David"/>
                <w:b/>
                <w:bCs/>
                <w:color w:val="FFFFFF"/>
                <w:sz w:val="20"/>
                <w:szCs w:val="20"/>
                <w:rtl/>
              </w:rPr>
              <w:t xml:space="preserve">תפוקת לב (CO)</w:t>
            </w:r>
          </w:p>
        </w:tc>
        <w:tc>
          <w:tcPr>
            <w:tcW w:type="dxa" w:w="1500"/>
            <w:shd w:fill="1F4E79" w:val="clear"/>
          </w:tcPr>
          <w:p>
            <w:pPr>
              <w:bidi/>
              <w:jc w:val="right"/>
            </w:pPr>
            <w:r>
              <w:rPr>
                <w:rFonts w:ascii="David" w:cs="David" w:eastAsia="David" w:hAnsi="David"/>
                <w:b/>
                <w:bCs/>
                <w:color w:val="FFFFFF"/>
                <w:sz w:val="20"/>
                <w:szCs w:val="20"/>
                <w:rtl/>
              </w:rPr>
              <w:t xml:space="preserve">תנגודת כלי דם היקפית (SVR)</w:t>
            </w:r>
          </w:p>
        </w:tc>
        <w:tc>
          <w:tcPr>
            <w:tcW w:type="dxa" w:w="1500"/>
            <w:shd w:fill="1F4E79" w:val="clear"/>
          </w:tcPr>
          <w:p>
            <w:pPr>
              <w:bidi/>
              <w:jc w:val="right"/>
            </w:pPr>
            <w:r>
              <w:rPr>
                <w:rFonts w:ascii="David" w:cs="David" w:eastAsia="David" w:hAnsi="David"/>
                <w:b/>
                <w:bCs/>
                <w:color w:val="FFFFFF"/>
                <w:sz w:val="20"/>
                <w:szCs w:val="20"/>
                <w:rtl/>
              </w:rPr>
              <w:t xml:space="preserve">Preload / PAWP</w:t>
            </w:r>
          </w:p>
        </w:tc>
        <w:tc>
          <w:tcPr>
            <w:tcW w:type="dxa" w:w="1500"/>
            <w:shd w:fill="1F4E79" w:val="clear"/>
          </w:tcPr>
          <w:p>
            <w:pPr>
              <w:bidi/>
              <w:jc w:val="right"/>
            </w:pPr>
            <w:r>
              <w:rPr>
                <w:rFonts w:ascii="David" w:cs="David" w:eastAsia="David" w:hAnsi="David"/>
                <w:b/>
                <w:bCs/>
                <w:color w:val="FFFFFF"/>
                <w:sz w:val="20"/>
                <w:szCs w:val="20"/>
                <w:rtl/>
              </w:rPr>
              <w:t xml:space="preserve">עור אופייני</w:t>
            </w:r>
          </w:p>
        </w:tc>
        <w:tc>
          <w:tcPr>
            <w:tcW w:type="dxa" w:w="1500"/>
            <w:shd w:fill="1F4E79" w:val="clear"/>
          </w:tcPr>
          <w:p>
            <w:pPr>
              <w:bidi/>
              <w:jc w:val="right"/>
            </w:pPr>
            <w:r>
              <w:rPr>
                <w:rFonts w:ascii="David" w:cs="David" w:eastAsia="David" w:hAnsi="David"/>
                <w:b/>
                <w:bCs/>
                <w:color w:val="FFFFFF"/>
                <w:sz w:val="20"/>
                <w:szCs w:val="20"/>
                <w:rtl/>
              </w:rPr>
              <w:t xml:space="preserve">דופק</w:t>
            </w:r>
          </w:p>
        </w:tc>
      </w:tr>
      <w:tr>
        <w:tc>
          <w:tcPr>
            <w:tcW w:type="dxa" w:w="1500"/>
            <w:shd w:fill="F2F2F2" w:val="clear"/>
          </w:tcPr>
          <w:p>
            <w:pPr>
              <w:bidi/>
              <w:jc w:val="right"/>
            </w:pPr>
            <w:r>
              <w:rPr>
                <w:rFonts w:ascii="David" w:cs="David" w:eastAsia="David" w:hAnsi="David"/>
                <w:sz w:val="20"/>
                <w:szCs w:val="20"/>
                <w:rtl/>
              </w:rPr>
              <w:t xml:space="preserve">היפוולמי</w:t>
            </w:r>
          </w:p>
        </w:tc>
        <w:tc>
          <w:tcPr>
            <w:tcW w:type="dxa" w:w="1500"/>
            <w:shd w:fill="F2F2F2" w:val="clear"/>
          </w:tcPr>
          <w:p>
            <w:pPr>
              <w:bidi/>
              <w:jc w:val="right"/>
            </w:pPr>
            <w:r>
              <w:rPr>
                <w:rFonts w:ascii="David" w:cs="David" w:eastAsia="David" w:hAnsi="David"/>
                <w:sz w:val="20"/>
                <w:szCs w:val="20"/>
                <w:rtl/>
              </w:rPr>
              <w:t xml:space="preserve">↓ נמוכה</w:t>
            </w:r>
          </w:p>
        </w:tc>
        <w:tc>
          <w:tcPr>
            <w:tcW w:type="dxa" w:w="1500"/>
            <w:shd w:fill="F2F2F2" w:val="clear"/>
          </w:tcPr>
          <w:p>
            <w:pPr>
              <w:bidi/>
              <w:jc w:val="right"/>
            </w:pPr>
            <w:r>
              <w:rPr>
                <w:rFonts w:ascii="David" w:cs="David" w:eastAsia="David" w:hAnsi="David"/>
                <w:sz w:val="20"/>
                <w:szCs w:val="20"/>
                <w:rtl/>
              </w:rPr>
              <w:t xml:space="preserve">↑ גבוהה (פיצוי)</w:t>
            </w:r>
          </w:p>
        </w:tc>
        <w:tc>
          <w:tcPr>
            <w:tcW w:type="dxa" w:w="1500"/>
            <w:shd w:fill="F2F2F2" w:val="clear"/>
          </w:tcPr>
          <w:p>
            <w:pPr>
              <w:bidi/>
              <w:jc w:val="right"/>
            </w:pPr>
            <w:r>
              <w:rPr>
                <w:rFonts w:ascii="David" w:cs="David" w:eastAsia="David" w:hAnsi="David"/>
                <w:sz w:val="20"/>
                <w:szCs w:val="20"/>
                <w:rtl/>
              </w:rPr>
              <w:t xml:space="preserve">↓ נמוך</w:t>
            </w:r>
          </w:p>
        </w:tc>
        <w:tc>
          <w:tcPr>
            <w:tcW w:type="dxa" w:w="1500"/>
            <w:shd w:fill="F2F2F2" w:val="clear"/>
          </w:tcPr>
          <w:p>
            <w:pPr>
              <w:bidi/>
              <w:jc w:val="right"/>
            </w:pPr>
            <w:r>
              <w:rPr>
                <w:rFonts w:ascii="David" w:cs="David" w:eastAsia="David" w:hAnsi="David"/>
                <w:sz w:val="20"/>
                <w:szCs w:val="20"/>
                <w:rtl/>
              </w:rPr>
              <w:t xml:space="preserve">קר, לח, חיוור</w:t>
            </w:r>
          </w:p>
        </w:tc>
        <w:tc>
          <w:tcPr>
            <w:tcW w:type="dxa" w:w="1500"/>
            <w:shd w:fill="F2F2F2" w:val="clear"/>
          </w:tcPr>
          <w:p>
            <w:pPr>
              <w:bidi/>
              <w:jc w:val="right"/>
            </w:pPr>
            <w:r>
              <w:rPr>
                <w:rFonts w:ascii="David" w:cs="David" w:eastAsia="David" w:hAnsi="David"/>
                <w:sz w:val="20"/>
                <w:szCs w:val="20"/>
                <w:rtl/>
              </w:rPr>
              <w:t xml:space="preserve">טכיקרדיה</w:t>
            </w:r>
          </w:p>
        </w:tc>
      </w:tr>
      <w:tr>
        <w:tc>
          <w:tcPr>
            <w:tcW w:type="dxa" w:w="1500"/>
            <w:shd w:fill="FFFFFF" w:val="clear"/>
          </w:tcPr>
          <w:p>
            <w:pPr>
              <w:bidi/>
              <w:jc w:val="right"/>
            </w:pPr>
            <w:r>
              <w:rPr>
                <w:rFonts w:ascii="David" w:cs="David" w:eastAsia="David" w:hAnsi="David"/>
                <w:sz w:val="20"/>
                <w:szCs w:val="20"/>
                <w:rtl/>
              </w:rPr>
              <w:t xml:space="preserve">קרדיוגני</w:t>
            </w:r>
          </w:p>
        </w:tc>
        <w:tc>
          <w:tcPr>
            <w:tcW w:type="dxa" w:w="1500"/>
            <w:shd w:fill="FFFFFF" w:val="clear"/>
          </w:tcPr>
          <w:p>
            <w:pPr>
              <w:bidi/>
              <w:jc w:val="right"/>
            </w:pPr>
            <w:r>
              <w:rPr>
                <w:rFonts w:ascii="David" w:cs="David" w:eastAsia="David" w:hAnsi="David"/>
                <w:sz w:val="20"/>
                <w:szCs w:val="20"/>
                <w:rtl/>
              </w:rPr>
              <w:t xml:space="preserve">↓ נמוכה</w:t>
            </w:r>
          </w:p>
        </w:tc>
        <w:tc>
          <w:tcPr>
            <w:tcW w:type="dxa" w:w="1500"/>
            <w:shd w:fill="FFFFFF" w:val="clear"/>
          </w:tcPr>
          <w:p>
            <w:pPr>
              <w:bidi/>
              <w:jc w:val="right"/>
            </w:pPr>
            <w:r>
              <w:rPr>
                <w:rFonts w:ascii="David" w:cs="David" w:eastAsia="David" w:hAnsi="David"/>
                <w:sz w:val="20"/>
                <w:szCs w:val="20"/>
                <w:rtl/>
              </w:rPr>
              <w:t xml:space="preserve">↑ גבוהה (פיצוי)</w:t>
            </w:r>
          </w:p>
        </w:tc>
        <w:tc>
          <w:tcPr>
            <w:tcW w:type="dxa" w:w="1500"/>
            <w:shd w:fill="FFFFFF" w:val="clear"/>
          </w:tcPr>
          <w:p>
            <w:pPr>
              <w:bidi/>
              <w:jc w:val="right"/>
            </w:pPr>
            <w:r>
              <w:rPr>
                <w:rFonts w:ascii="David" w:cs="David" w:eastAsia="David" w:hAnsi="David"/>
                <w:sz w:val="20"/>
                <w:szCs w:val="20"/>
                <w:rtl/>
              </w:rPr>
              <w:t xml:space="preserve">↑ גבוה (PAWP)</w:t>
            </w:r>
          </w:p>
        </w:tc>
        <w:tc>
          <w:tcPr>
            <w:tcW w:type="dxa" w:w="1500"/>
            <w:shd w:fill="FFFFFF" w:val="clear"/>
          </w:tcPr>
          <w:p>
            <w:pPr>
              <w:bidi/>
              <w:jc w:val="right"/>
            </w:pPr>
            <w:r>
              <w:rPr>
                <w:rFonts w:ascii="David" w:cs="David" w:eastAsia="David" w:hAnsi="David"/>
                <w:sz w:val="20"/>
                <w:szCs w:val="20"/>
                <w:rtl/>
              </w:rPr>
              <w:t xml:space="preserve">קר, לח, ציאנוטי</w:t>
            </w:r>
          </w:p>
        </w:tc>
        <w:tc>
          <w:tcPr>
            <w:tcW w:type="dxa" w:w="1500"/>
            <w:shd w:fill="FFFFFF" w:val="clear"/>
          </w:tcPr>
          <w:p>
            <w:pPr>
              <w:bidi/>
              <w:jc w:val="right"/>
            </w:pPr>
            <w:r>
              <w:rPr>
                <w:rFonts w:ascii="David" w:cs="David" w:eastAsia="David" w:hAnsi="David"/>
                <w:sz w:val="20"/>
                <w:szCs w:val="20"/>
                <w:rtl/>
              </w:rPr>
              <w:t xml:space="preserve">טכיקרדיה</w:t>
            </w:r>
          </w:p>
        </w:tc>
      </w:tr>
      <w:tr>
        <w:tc>
          <w:tcPr>
            <w:tcW w:type="dxa" w:w="1500"/>
            <w:shd w:fill="F2F2F2" w:val="clear"/>
          </w:tcPr>
          <w:p>
            <w:pPr>
              <w:bidi/>
              <w:jc w:val="right"/>
            </w:pPr>
            <w:r>
              <w:rPr>
                <w:rFonts w:ascii="David" w:cs="David" w:eastAsia="David" w:hAnsi="David"/>
                <w:sz w:val="20"/>
                <w:szCs w:val="20"/>
                <w:rtl/>
              </w:rPr>
              <w:t xml:space="preserve">ספטי (שלב מוקדם)</w:t>
            </w:r>
          </w:p>
        </w:tc>
        <w:tc>
          <w:tcPr>
            <w:tcW w:type="dxa" w:w="1500"/>
            <w:shd w:fill="F2F2F2" w:val="clear"/>
          </w:tcPr>
          <w:p>
            <w:pPr>
              <w:bidi/>
              <w:jc w:val="right"/>
            </w:pPr>
            <w:r>
              <w:rPr>
                <w:rFonts w:ascii="David" w:cs="David" w:eastAsia="David" w:hAnsi="David"/>
                <w:sz w:val="20"/>
                <w:szCs w:val="20"/>
                <w:rtl/>
              </w:rPr>
              <w:t xml:space="preserve">↑/תקינה</w:t>
            </w:r>
          </w:p>
        </w:tc>
        <w:tc>
          <w:tcPr>
            <w:tcW w:type="dxa" w:w="1500"/>
            <w:shd w:fill="F2F2F2" w:val="clear"/>
          </w:tcPr>
          <w:p>
            <w:pPr>
              <w:bidi/>
              <w:jc w:val="right"/>
            </w:pPr>
            <w:r>
              <w:rPr>
                <w:rFonts w:ascii="David" w:cs="David" w:eastAsia="David" w:hAnsi="David"/>
                <w:sz w:val="20"/>
                <w:szCs w:val="20"/>
                <w:rtl/>
              </w:rPr>
              <w:t xml:space="preserve">↓ נמוכה</w:t>
            </w:r>
          </w:p>
        </w:tc>
        <w:tc>
          <w:tcPr>
            <w:tcW w:type="dxa" w:w="1500"/>
            <w:shd w:fill="F2F2F2" w:val="clear"/>
          </w:tcPr>
          <w:p>
            <w:pPr>
              <w:bidi/>
              <w:jc w:val="right"/>
            </w:pPr>
            <w:r>
              <w:rPr>
                <w:rFonts w:ascii="David" w:cs="David" w:eastAsia="David" w:hAnsi="David"/>
                <w:sz w:val="20"/>
                <w:szCs w:val="20"/>
                <w:rtl/>
              </w:rPr>
              <w:t xml:space="preserve">↓/תקין</w:t>
            </w:r>
          </w:p>
        </w:tc>
        <w:tc>
          <w:tcPr>
            <w:tcW w:type="dxa" w:w="1500"/>
            <w:shd w:fill="F2F2F2" w:val="clear"/>
          </w:tcPr>
          <w:p>
            <w:pPr>
              <w:bidi/>
              <w:jc w:val="right"/>
            </w:pPr>
            <w:r>
              <w:rPr>
                <w:rFonts w:ascii="David" w:cs="David" w:eastAsia="David" w:hAnsi="David"/>
                <w:sz w:val="20"/>
                <w:szCs w:val="20"/>
                <w:rtl/>
              </w:rPr>
              <w:t xml:space="preserve">חם, אדום, יבש</w:t>
            </w:r>
          </w:p>
        </w:tc>
        <w:tc>
          <w:tcPr>
            <w:tcW w:type="dxa" w:w="1500"/>
            <w:shd w:fill="F2F2F2" w:val="clear"/>
          </w:tcPr>
          <w:p>
            <w:pPr>
              <w:bidi/>
              <w:jc w:val="right"/>
            </w:pPr>
            <w:r>
              <w:rPr>
                <w:rFonts w:ascii="David" w:cs="David" w:eastAsia="David" w:hAnsi="David"/>
                <w:sz w:val="20"/>
                <w:szCs w:val="20"/>
                <w:rtl/>
              </w:rPr>
              <w:t xml:space="preserve">טכיקרדיה</w:t>
            </w:r>
          </w:p>
        </w:tc>
      </w:tr>
      <w:tr>
        <w:tc>
          <w:tcPr>
            <w:tcW w:type="dxa" w:w="1500"/>
            <w:shd w:fill="FFFFFF" w:val="clear"/>
          </w:tcPr>
          <w:p>
            <w:pPr>
              <w:bidi/>
              <w:jc w:val="right"/>
            </w:pPr>
            <w:r>
              <w:rPr>
                <w:rFonts w:ascii="David" w:cs="David" w:eastAsia="David" w:hAnsi="David"/>
                <w:sz w:val="20"/>
                <w:szCs w:val="20"/>
                <w:rtl/>
              </w:rPr>
              <w:t xml:space="preserve">נוירוגני</w:t>
            </w:r>
          </w:p>
        </w:tc>
        <w:tc>
          <w:tcPr>
            <w:tcW w:type="dxa" w:w="1500"/>
            <w:shd w:fill="FFFFFF" w:val="clear"/>
          </w:tcPr>
          <w:p>
            <w:pPr>
              <w:bidi/>
              <w:jc w:val="right"/>
            </w:pPr>
            <w:r>
              <w:rPr>
                <w:rFonts w:ascii="David" w:cs="David" w:eastAsia="David" w:hAnsi="David"/>
                <w:sz w:val="20"/>
                <w:szCs w:val="20"/>
                <w:rtl/>
              </w:rPr>
              <w:t xml:space="preserve">↓ נמוכה</w:t>
            </w:r>
          </w:p>
        </w:tc>
        <w:tc>
          <w:tcPr>
            <w:tcW w:type="dxa" w:w="1500"/>
            <w:shd w:fill="FFFFFF" w:val="clear"/>
          </w:tcPr>
          <w:p>
            <w:pPr>
              <w:bidi/>
              <w:jc w:val="right"/>
            </w:pPr>
            <w:r>
              <w:rPr>
                <w:rFonts w:ascii="David" w:cs="David" w:eastAsia="David" w:hAnsi="David"/>
                <w:sz w:val="20"/>
                <w:szCs w:val="20"/>
                <w:rtl/>
              </w:rPr>
              <w:t xml:space="preserve">↓ נמוכה</w:t>
            </w:r>
          </w:p>
        </w:tc>
        <w:tc>
          <w:tcPr>
            <w:tcW w:type="dxa" w:w="1500"/>
            <w:shd w:fill="FFFFFF" w:val="clear"/>
          </w:tcPr>
          <w:p>
            <w:pPr>
              <w:bidi/>
              <w:jc w:val="right"/>
            </w:pPr>
            <w:r>
              <w:rPr>
                <w:rFonts w:ascii="David" w:cs="David" w:eastAsia="David" w:hAnsi="David"/>
                <w:sz w:val="20"/>
                <w:szCs w:val="20"/>
                <w:rtl/>
              </w:rPr>
              <w:t xml:space="preserve">↓ נמוך</w:t>
            </w:r>
          </w:p>
        </w:tc>
        <w:tc>
          <w:tcPr>
            <w:tcW w:type="dxa" w:w="1500"/>
            <w:shd w:fill="FFFFFF" w:val="clear"/>
          </w:tcPr>
          <w:p>
            <w:pPr>
              <w:bidi/>
              <w:jc w:val="right"/>
            </w:pPr>
            <w:r>
              <w:rPr>
                <w:rFonts w:ascii="David" w:cs="David" w:eastAsia="David" w:hAnsi="David"/>
                <w:sz w:val="20"/>
                <w:szCs w:val="20"/>
                <w:rtl/>
              </w:rPr>
              <w:t xml:space="preserve">חם, יבש</w:t>
            </w:r>
          </w:p>
        </w:tc>
        <w:tc>
          <w:tcPr>
            <w:tcW w:type="dxa" w:w="1500"/>
            <w:shd w:fill="FFFFFF" w:val="clear"/>
          </w:tcPr>
          <w:p>
            <w:pPr>
              <w:bidi/>
              <w:jc w:val="right"/>
            </w:pPr>
            <w:r>
              <w:rPr>
                <w:rFonts w:ascii="David" w:cs="David" w:eastAsia="David" w:hAnsi="David"/>
                <w:sz w:val="20"/>
                <w:szCs w:val="20"/>
                <w:rtl/>
              </w:rPr>
              <w:t xml:space="preserve">ברדיקרדיה</w:t>
            </w:r>
          </w:p>
        </w:tc>
      </w:tr>
      <w:tr>
        <w:tc>
          <w:tcPr>
            <w:tcW w:type="dxa" w:w="1500"/>
            <w:shd w:fill="F2F2F2" w:val="clear"/>
          </w:tcPr>
          <w:p>
            <w:pPr>
              <w:bidi/>
              <w:jc w:val="right"/>
            </w:pPr>
            <w:r>
              <w:rPr>
                <w:rFonts w:ascii="David" w:cs="David" w:eastAsia="David" w:hAnsi="David"/>
                <w:sz w:val="20"/>
                <w:szCs w:val="20"/>
                <w:rtl/>
              </w:rPr>
              <w:t xml:space="preserve">אנפילקטי</w:t>
            </w:r>
          </w:p>
        </w:tc>
        <w:tc>
          <w:tcPr>
            <w:tcW w:type="dxa" w:w="1500"/>
            <w:shd w:fill="F2F2F2" w:val="clear"/>
          </w:tcPr>
          <w:p>
            <w:pPr>
              <w:bidi/>
              <w:jc w:val="right"/>
            </w:pPr>
            <w:r>
              <w:rPr>
                <w:rFonts w:ascii="David" w:cs="David" w:eastAsia="David" w:hAnsi="David"/>
                <w:sz w:val="20"/>
                <w:szCs w:val="20"/>
                <w:rtl/>
              </w:rPr>
              <w:t xml:space="preserve">↓ נמוכה</w:t>
            </w:r>
          </w:p>
        </w:tc>
        <w:tc>
          <w:tcPr>
            <w:tcW w:type="dxa" w:w="1500"/>
            <w:shd w:fill="F2F2F2" w:val="clear"/>
          </w:tcPr>
          <w:p>
            <w:pPr>
              <w:bidi/>
              <w:jc w:val="right"/>
            </w:pPr>
            <w:r>
              <w:rPr>
                <w:rFonts w:ascii="David" w:cs="David" w:eastAsia="David" w:hAnsi="David"/>
                <w:sz w:val="20"/>
                <w:szCs w:val="20"/>
                <w:rtl/>
              </w:rPr>
              <w:t xml:space="preserve">↓↓ נמוכה מאוד</w:t>
            </w:r>
          </w:p>
        </w:tc>
        <w:tc>
          <w:tcPr>
            <w:tcW w:type="dxa" w:w="1500"/>
            <w:shd w:fill="F2F2F2" w:val="clear"/>
          </w:tcPr>
          <w:p>
            <w:pPr>
              <w:bidi/>
              <w:jc w:val="right"/>
            </w:pPr>
            <w:r>
              <w:rPr>
                <w:rFonts w:ascii="David" w:cs="David" w:eastAsia="David" w:hAnsi="David"/>
                <w:sz w:val="20"/>
                <w:szCs w:val="20"/>
                <w:rtl/>
              </w:rPr>
              <w:t xml:space="preserve">↓ נמוך</w:t>
            </w:r>
          </w:p>
        </w:tc>
        <w:tc>
          <w:tcPr>
            <w:tcW w:type="dxa" w:w="1500"/>
            <w:shd w:fill="F2F2F2" w:val="clear"/>
          </w:tcPr>
          <w:p>
            <w:pPr>
              <w:bidi/>
              <w:jc w:val="right"/>
            </w:pPr>
            <w:r>
              <w:rPr>
                <w:rFonts w:ascii="David" w:cs="David" w:eastAsia="David" w:hAnsi="David"/>
                <w:sz w:val="20"/>
                <w:szCs w:val="20"/>
                <w:rtl/>
              </w:rPr>
              <w:t xml:space="preserve">אורטיקריה, בצקת</w:t>
            </w:r>
          </w:p>
        </w:tc>
        <w:tc>
          <w:tcPr>
            <w:tcW w:type="dxa" w:w="1500"/>
            <w:shd w:fill="F2F2F2" w:val="clear"/>
          </w:tcPr>
          <w:p>
            <w:pPr>
              <w:bidi/>
              <w:jc w:val="right"/>
            </w:pPr>
            <w:r>
              <w:rPr>
                <w:rFonts w:ascii="David" w:cs="David" w:eastAsia="David" w:hAnsi="David"/>
                <w:sz w:val="20"/>
                <w:szCs w:val="20"/>
                <w:rtl/>
              </w:rPr>
              <w:t xml:space="preserve">טכיקרדיה</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2026-07-02T07:34:30.056Z</dcterms:created>
  <dcterms:modified xsi:type="dcterms:W3CDTF">2026-07-02T07:34:30.069Z</dcterms:modified>
</cp:coreProperties>
</file>

<file path=docProps/custom.xml><?xml version="1.0" encoding="utf-8"?>
<Properties xmlns="http://schemas.openxmlformats.org/officeDocument/2006/custom-properties" xmlns:vt="http://schemas.openxmlformats.org/officeDocument/2006/docPropsVTypes"/>
</file>