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400" w:before="2000"/>
        <w:jc w:val="center"/>
      </w:pPr>
      <w:r>
        <w:rPr>
          <w:rFonts w:ascii="David" w:cs="David" w:eastAsia="David" w:hAnsi="David"/>
          <w:b/>
          <w:bCs/>
          <w:sz w:val="40"/>
          <w:szCs w:val="40"/>
          <w:rtl/>
        </w:rPr>
        <w:t xml:space="preserve">פרק 52 — הפרעות בשד</w:t>
      </w:r>
    </w:p>
    <w:p>
      <w:pPr>
        <w:bidi/>
        <w:spacing w:after="200"/>
        <w:jc w:val="center"/>
      </w:pPr>
      <w:r>
        <w:rPr>
          <w:rFonts w:ascii="David" w:cs="David" w:eastAsia="David" w:hAnsi="David"/>
          <w:i/>
          <w:iCs/>
          <w:sz w:val="26"/>
          <w:szCs w:val="26"/>
          <w:rtl/>
        </w:rPr>
        <w:t xml:space="preserve">סיכום קליני-סיעודי לפי מסגרת 11 הסעיפים</w:t>
      </w:r>
    </w:p>
    <w:p>
      <w:pPr>
        <w:bidi/>
        <w:jc w:val="center"/>
      </w:pPr>
      <w:r>
        <w:rPr>
          <w:rFonts w:ascii="David" w:cs="David" w:eastAsia="David" w:hAnsi="David"/>
          <w:color w:val="666666"/>
          <w:sz w:val="20"/>
          <w:szCs w:val="20"/>
          <w:rtl/>
        </w:rPr>
        <w:t xml:space="preserve">מבוסס על: Brunner &amp; Suddarth's Textbook of Medical-Surgical Nursing, 15th Edition, Chapter 52</w:t>
      </w:r>
    </w:p>
    <w:p>
      <w:r>
        <w:br w:type="page"/>
      </w:r>
    </w:p>
    <w:p>
      <w:pPr>
        <w:pStyle w:val="Heading1"/>
        <w:bidi/>
        <w:jc w:val="right"/>
      </w:pPr>
      <w:r>
        <w:rPr>
          <w:rFonts w:ascii="David" w:cs="David" w:eastAsia="David" w:hAnsi="David"/>
          <w:rtl/>
        </w:rPr>
        <w:t xml:space="preserve">סרטן השד (Breast Cancer)</w:t>
      </w:r>
    </w:p>
    <w:p>
      <w:pPr>
        <w:pStyle w:val="Heading3"/>
        <w:bidi/>
        <w:spacing w:after="100" w:before="200"/>
        <w:jc w:val="right"/>
      </w:pPr>
      <w:r>
        <w:rPr>
          <w:rFonts w:ascii="David" w:cs="David" w:eastAsia="David" w:hAnsi="David"/>
          <w:b/>
          <w:bCs/>
          <w:color w:val="1F4E79"/>
          <w:sz w:val="24"/>
          <w:szCs w:val="24"/>
          <w:rtl/>
        </w:rPr>
        <w:t xml:space="preserve">רמה 1 — מלא</w:t>
      </w:r>
    </w:p>
    <w:p>
      <w:pPr>
        <w:bidi/>
        <w:spacing w:after="140"/>
        <w:jc w:val="right"/>
      </w:pPr>
      <w:r>
        <w:rPr>
          <w:rFonts w:ascii="David" w:cs="David" w:eastAsia="David" w:hAnsi="David"/>
          <w:b/>
          <w:bCs/>
          <w:sz w:val="22"/>
          <w:szCs w:val="22"/>
          <w:rtl/>
        </w:rPr>
        <w:t xml:space="preserve">1. הגדרה ואטיולוגיה </w:t>
      </w:r>
      <w:r>
        <w:rPr>
          <w:rFonts w:ascii="David" w:cs="David" w:eastAsia="David" w:hAnsi="David"/>
          <w:sz w:val="22"/>
          <w:szCs w:val="22"/>
          <w:rtl/>
        </w:rPr>
        <w:t xml:space="preserve">ממאירות המתפתחת ברקמת השד, לרוב מתאי צינוריות החלב (Ductal) או מבלוטות החלב (Lobular). גורמי סיכון: גיל, מוטציות גנטיות (BRCA1/2), היסטוריה משפחתית, חשיפה ממושכת לאסטרוגן (מחזור מוקדם/מנופאוזה מאוחרת, ללא הריונות), השמנה לאחר מנופאוזה, צריכת אלכוהול.</w:t>
      </w:r>
    </w:p>
    <w:p>
      <w:pPr>
        <w:bidi/>
        <w:spacing w:after="140"/>
        <w:jc w:val="right"/>
      </w:pPr>
      <w:r>
        <w:rPr>
          <w:rFonts w:ascii="David" w:cs="David" w:eastAsia="David" w:hAnsi="David"/>
          <w:b/>
          <w:bCs/>
          <w:sz w:val="22"/>
          <w:szCs w:val="22"/>
          <w:rtl/>
        </w:rPr>
        <w:t xml:space="preserve">2. פתופיזיולוגיה </w:t>
      </w:r>
      <w:r>
        <w:rPr>
          <w:rFonts w:ascii="David" w:cs="David" w:eastAsia="David" w:hAnsi="David"/>
          <w:sz w:val="22"/>
          <w:szCs w:val="22"/>
          <w:rtl/>
        </w:rPr>
        <w:t xml:space="preserve">שינויים גנטיים מצטברים בתאי האפיתל של צינוריות/בלוטות החלב → שגשוג בלתי מבוקר → התפתחות מקרצינומה In Situ (מוגבלת לצינורית) לפולשנית (חודרת דרך הממברנה הבסיסית) עם פוטנציאל גרורתי דרך מערכת הלימפה (בלוטות בית השחי) ומחזור הדם.</w:t>
      </w:r>
    </w:p>
    <w:p>
      <w:pPr>
        <w:bidi/>
        <w:spacing w:after="140"/>
        <w:jc w:val="right"/>
      </w:pPr>
      <w:r>
        <w:rPr>
          <w:rFonts w:ascii="David" w:cs="David" w:eastAsia="David" w:hAnsi="David"/>
          <w:b/>
          <w:bCs/>
          <w:sz w:val="22"/>
          <w:szCs w:val="22"/>
          <w:rtl/>
        </w:rPr>
        <w:t xml:space="preserve">3. מערכות מעורבות </w:t>
      </w:r>
      <w:r>
        <w:rPr>
          <w:rFonts w:ascii="David" w:cs="David" w:eastAsia="David" w:hAnsi="David"/>
          <w:sz w:val="22"/>
          <w:szCs w:val="22"/>
          <w:rtl/>
        </w:rPr>
        <w:t xml:space="preserve">שד ובלוטות לימפה אזוריות (בית שחי); באתרי גרורות שכיחים — עצם, ריאה, כבד, מוח.</w:t>
      </w:r>
    </w:p>
    <w:p>
      <w:pPr>
        <w:bidi/>
        <w:spacing w:after="140"/>
        <w:jc w:val="right"/>
      </w:pPr>
      <w:r>
        <w:rPr>
          <w:rFonts w:ascii="David" w:cs="David" w:eastAsia="David" w:hAnsi="David"/>
          <w:b/>
          <w:bCs/>
          <w:sz w:val="22"/>
          <w:szCs w:val="22"/>
          <w:rtl/>
        </w:rPr>
        <w:t xml:space="preserve">4. ביטויים קליניים </w:t>
      </w:r>
      <w:r>
        <w:rPr>
          <w:rFonts w:ascii="David" w:cs="David" w:eastAsia="David" w:hAnsi="David"/>
          <w:sz w:val="22"/>
          <w:szCs w:val="22"/>
          <w:rtl/>
        </w:rPr>
        <w:t xml:space="preserve">גוש קשה, לא-כואב, בלתי-נייד בשד (הממצא השכיח ביותר בגילוי עצמי), שינוי בגודל/צורת השד, הפרשה מהפטמה (במיוחד דמית), שינוי עורי ('קליפת תפוז' — Peau d'Orange), הפוך פטמה, גוש בבית השחי.</w:t>
      </w:r>
    </w:p>
    <w:p>
      <w:pPr>
        <w:bidi/>
        <w:spacing w:after="140"/>
        <w:jc w:val="right"/>
      </w:pPr>
      <w:r>
        <w:rPr>
          <w:rFonts w:ascii="David" w:cs="David" w:eastAsia="David" w:hAnsi="David"/>
          <w:b/>
          <w:bCs/>
          <w:sz w:val="22"/>
          <w:szCs w:val="22"/>
          <w:rtl/>
        </w:rPr>
        <w:t xml:space="preserve">5. הערכה ואבחון </w:t>
      </w:r>
      <w:r>
        <w:rPr>
          <w:rFonts w:ascii="David" w:cs="David" w:eastAsia="David" w:hAnsi="David"/>
          <w:sz w:val="22"/>
          <w:szCs w:val="22"/>
          <w:rtl/>
        </w:rPr>
        <w:t xml:space="preserve">ממוגרפיה — כלי הסקר המרכזי; אולטרסאונד שד להבחנה בין ציסטה למוצק; MRI שד באוכלוסיות בסיכון גבוה; ביופסיה (מחט עדינה/ליבה) לאבחנה סופית; בדיקת קולטנים (ER/PR, HER2) לקביעת תת-סוג הגידול וכיוון הטיפול; דירוג TNM.</w:t>
      </w:r>
    </w:p>
    <w:p>
      <w:pPr>
        <w:bidi/>
        <w:spacing w:after="140"/>
        <w:jc w:val="right"/>
      </w:pPr>
      <w:r>
        <w:rPr>
          <w:rFonts w:ascii="David" w:cs="David" w:eastAsia="David" w:hAnsi="David"/>
          <w:b/>
          <w:bCs/>
          <w:sz w:val="22"/>
          <w:szCs w:val="22"/>
          <w:rtl/>
        </w:rPr>
        <w:t xml:space="preserve">6. סיבוכים </w:t>
      </w:r>
      <w:r>
        <w:rPr>
          <w:rFonts w:ascii="David" w:cs="David" w:eastAsia="David" w:hAnsi="David"/>
          <w:sz w:val="22"/>
          <w:szCs w:val="22"/>
          <w:rtl/>
        </w:rPr>
        <w:t xml:space="preserve">גרורות מרוחקות (עצם, ריאה, כבד, מוח), לימפאדמה של הזרוע לאחר ניתוח/הקרנה עם פינוי בלוטות בית שחי, סיבוכי טיפול (ראה פרק 12 — כימותרפיה/הקרנות).</w:t>
      </w:r>
    </w:p>
    <w:p>
      <w:pPr>
        <w:bidi/>
        <w:spacing w:after="140"/>
        <w:jc w:val="right"/>
      </w:pPr>
      <w:r>
        <w:rPr>
          <w:rFonts w:ascii="David" w:cs="David" w:eastAsia="David" w:hAnsi="David"/>
          <w:b/>
          <w:bCs/>
          <w:sz w:val="22"/>
          <w:szCs w:val="22"/>
          <w:rtl/>
        </w:rPr>
        <w:t xml:space="preserve">7. טיפול רפואי </w:t>
      </w:r>
      <w:r>
        <w:rPr>
          <w:rFonts w:ascii="David" w:cs="David" w:eastAsia="David" w:hAnsi="David"/>
          <w:sz w:val="22"/>
          <w:szCs w:val="22"/>
          <w:rtl/>
        </w:rPr>
        <w:t xml:space="preserve">ניתוח — כריתה משמרת שד (למפקטומיה) + הקרנות, או כריתת שד מלאה (מסטקטומיה); ביופסיית בלוטת הזקיף (Sentinel Node Biopsy) להערכת מעורבות לימפטית; טיפול הורמונלי (טמוקסיפן/מעכבי ארומטאז) בגידולים חיוביים לקולטני הורמונים; טיפול ממוקד (טרסטוזומאב) בגידולי HER2 חיוביים; כימותרפיה משלימה לפי סיכון.</w:t>
      </w:r>
    </w:p>
    <w:p>
      <w:pPr>
        <w:bidi/>
        <w:spacing w:after="140"/>
        <w:jc w:val="right"/>
      </w:pPr>
      <w:r>
        <w:rPr>
          <w:rFonts w:ascii="David" w:cs="David" w:eastAsia="David" w:hAnsi="David"/>
          <w:b/>
          <w:bCs/>
          <w:sz w:val="22"/>
          <w:szCs w:val="22"/>
          <w:rtl/>
        </w:rPr>
        <w:t xml:space="preserve">8. תהליך סיעודי </w:t>
      </w:r>
      <w:r>
        <w:rPr>
          <w:rFonts w:ascii="David" w:cs="David" w:eastAsia="David" w:hAnsi="David"/>
          <w:sz w:val="22"/>
          <w:szCs w:val="22"/>
          <w:rtl/>
        </w:rPr>
        <w:t xml:space="preserve">תמיכה רגשית משמעותית סביב האבחנה ופגיעה בדימוי הגוף, חינוך טרום-ניתוחי, טיפול בזרוע לאחר פינוי בלוטות (הימנעות מדקירות/מדידת ל"ד בזרוע המעורבת, זיהוי מוקדם של לימפאדמה), תמיכה בהחלטות טיפוליות (שחזור שד, אפשרויות טיפול).</w:t>
      </w:r>
    </w:p>
    <w:p>
      <w:pPr>
        <w:bidi/>
        <w:spacing w:after="140"/>
        <w:jc w:val="right"/>
      </w:pPr>
      <w:r>
        <w:rPr>
          <w:rFonts w:ascii="David" w:cs="David" w:eastAsia="David" w:hAnsi="David"/>
          <w:b/>
          <w:bCs/>
          <w:sz w:val="22"/>
          <w:szCs w:val="22"/>
          <w:rtl/>
        </w:rPr>
        <w:t xml:space="preserve">9. תזונה/אורח חיים/חינוך </w:t>
      </w:r>
      <w:r>
        <w:rPr>
          <w:rFonts w:ascii="David" w:cs="David" w:eastAsia="David" w:hAnsi="David"/>
          <w:sz w:val="22"/>
          <w:szCs w:val="22"/>
          <w:rtl/>
        </w:rPr>
        <w:t xml:space="preserve">עידוד בדיקה עצמית של השד ובדיקות סקר תקופתיות (ממוגרפיה) בהתאם להנחיות גיל/סיכון, ניהול משקל ופעילות גופנית כגורמים מגני-סיכון, הימנעות מאלכוהול מופרז.</w:t>
      </w:r>
    </w:p>
    <w:p>
      <w:pPr>
        <w:bidi/>
        <w:spacing w:after="140"/>
        <w:jc w:val="right"/>
      </w:pPr>
      <w:r>
        <w:rPr>
          <w:rFonts w:ascii="David" w:cs="David" w:eastAsia="David" w:hAnsi="David"/>
          <w:b/>
          <w:bCs/>
          <w:sz w:val="22"/>
          <w:szCs w:val="22"/>
          <w:rtl/>
        </w:rPr>
        <w:t xml:space="preserve">10. תוצאות מצופות </w:t>
      </w:r>
      <w:r>
        <w:rPr>
          <w:rFonts w:ascii="David" w:cs="David" w:eastAsia="David" w:hAnsi="David"/>
          <w:sz w:val="22"/>
          <w:szCs w:val="22"/>
          <w:rtl/>
        </w:rPr>
        <w:t xml:space="preserve">אבחון מוקדם ככל האפשר (משפר משמעותית פרוגנוזה), הסרה מלאה של הגידול עם שוליים נקיים, מניעת הישנות מקומית/גרורתית, שימור תפקוד ואיכות חיים.</w:t>
      </w:r>
    </w:p>
    <w:p>
      <w:pPr>
        <w:pStyle w:val="Heading3"/>
        <w:bidi/>
        <w:spacing w:after="100" w:before="200"/>
        <w:jc w:val="right"/>
      </w:pPr>
      <w:r>
        <w:rPr>
          <w:rFonts w:ascii="David" w:cs="David" w:eastAsia="David" w:hAnsi="David"/>
          <w:b/>
          <w:bCs/>
          <w:color w:val="1F4E79"/>
          <w:sz w:val="24"/>
          <w:szCs w:val="24"/>
          <w:rtl/>
        </w:rPr>
        <w:t xml:space="preserve">רמה 2 — ביניים</w:t>
      </w:r>
    </w:p>
    <w:p>
      <w:pPr>
        <w:bidi/>
        <w:spacing w:after="140"/>
        <w:jc w:val="right"/>
      </w:pPr>
      <w:r>
        <w:rPr>
          <w:rFonts w:ascii="David" w:cs="David" w:eastAsia="David" w:hAnsi="David"/>
          <w:b/>
          <w:bCs/>
          <w:sz w:val="22"/>
          <w:szCs w:val="22"/>
          <w:rtl/>
        </w:rPr>
        <w:t xml:space="preserve">1. הגדרה ואטיולוגיה </w:t>
      </w:r>
      <w:r>
        <w:rPr>
          <w:rFonts w:ascii="David" w:cs="David" w:eastAsia="David" w:hAnsi="David"/>
          <w:sz w:val="22"/>
          <w:szCs w:val="22"/>
          <w:rtl/>
        </w:rPr>
        <w:t xml:space="preserve">ממאירות המתפתחת ברקמת השד, לרוב מתאי צינוריות החלב (Ductal) או מבלוטות החלב (Lobular).</w:t>
      </w:r>
    </w:p>
    <w:p>
      <w:pPr>
        <w:bidi/>
        <w:spacing w:after="140"/>
        <w:jc w:val="right"/>
      </w:pPr>
      <w:r>
        <w:rPr>
          <w:rFonts w:ascii="David" w:cs="David" w:eastAsia="David" w:hAnsi="David"/>
          <w:b/>
          <w:bCs/>
          <w:sz w:val="22"/>
          <w:szCs w:val="22"/>
          <w:rtl/>
        </w:rPr>
        <w:t xml:space="preserve">2. פתופיזיולוגיה </w:t>
      </w:r>
      <w:r>
        <w:rPr>
          <w:rFonts w:ascii="David" w:cs="David" w:eastAsia="David" w:hAnsi="David"/>
          <w:sz w:val="22"/>
          <w:szCs w:val="22"/>
          <w:rtl/>
        </w:rPr>
        <w:t xml:space="preserve">שינויים גנטיים מצטברים בתאי האפיתל של צינוריות/בלוטות החלב → שגשוג בלתי מבוקר → התפתחות מקרצינומה In Situ (מוגבלת לצינורית) לפולשנית (חודרת דרך הממברנה הבסיסית) עם פוטנציאל גרורתי דרך מערכת הלימפה (בלוטות בית השחי) ומחזור הדם.</w:t>
      </w:r>
    </w:p>
    <w:p>
      <w:pPr>
        <w:bidi/>
        <w:spacing w:after="140"/>
        <w:jc w:val="right"/>
      </w:pPr>
      <w:r>
        <w:rPr>
          <w:rFonts w:ascii="David" w:cs="David" w:eastAsia="David" w:hAnsi="David"/>
          <w:b/>
          <w:bCs/>
          <w:sz w:val="22"/>
          <w:szCs w:val="22"/>
          <w:rtl/>
        </w:rPr>
        <w:t xml:space="preserve">3. מערכות מעורבות </w:t>
      </w:r>
      <w:r>
        <w:rPr>
          <w:rFonts w:ascii="David" w:cs="David" w:eastAsia="David" w:hAnsi="David"/>
          <w:sz w:val="22"/>
          <w:szCs w:val="22"/>
          <w:rtl/>
        </w:rPr>
        <w:t xml:space="preserve">שד ובלוטות לימפה אזוריות (בית שחי);</w:t>
      </w:r>
    </w:p>
    <w:p>
      <w:pPr>
        <w:bidi/>
        <w:spacing w:after="140"/>
        <w:jc w:val="right"/>
      </w:pPr>
      <w:r>
        <w:rPr>
          <w:rFonts w:ascii="David" w:cs="David" w:eastAsia="David" w:hAnsi="David"/>
          <w:b/>
          <w:bCs/>
          <w:sz w:val="22"/>
          <w:szCs w:val="22"/>
          <w:rtl/>
        </w:rPr>
        <w:t xml:space="preserve">4. ביטויים קליניים </w:t>
      </w:r>
      <w:r>
        <w:rPr>
          <w:rFonts w:ascii="David" w:cs="David" w:eastAsia="David" w:hAnsi="David"/>
          <w:sz w:val="22"/>
          <w:szCs w:val="22"/>
          <w:rtl/>
        </w:rPr>
        <w:t xml:space="preserve">גוש קשה, לא-כואב, בלתי-נייד בשד (הממצא השכיח ביותר בגילוי עצמי), שינוי בגודל/צורת השד, הפרשה מהפטמה (במיוחד דמית), שינוי עורי ('קליפת תפוז' — Peau d'Orange), הפוך פטמה, גוש בבית השחי.</w:t>
      </w:r>
    </w:p>
    <w:p>
      <w:pPr>
        <w:bidi/>
        <w:spacing w:after="140"/>
        <w:jc w:val="right"/>
      </w:pPr>
      <w:r>
        <w:rPr>
          <w:rFonts w:ascii="David" w:cs="David" w:eastAsia="David" w:hAnsi="David"/>
          <w:b/>
          <w:bCs/>
          <w:sz w:val="22"/>
          <w:szCs w:val="22"/>
          <w:rtl/>
        </w:rPr>
        <w:t xml:space="preserve">5. הערכה ואבחון </w:t>
      </w:r>
      <w:r>
        <w:rPr>
          <w:rFonts w:ascii="David" w:cs="David" w:eastAsia="David" w:hAnsi="David"/>
          <w:sz w:val="22"/>
          <w:szCs w:val="22"/>
          <w:rtl/>
        </w:rPr>
        <w:t xml:space="preserve">ממוגרפיה — כלי הסקר המרכזי;</w:t>
      </w:r>
    </w:p>
    <w:p>
      <w:pPr>
        <w:bidi/>
        <w:spacing w:after="140"/>
        <w:jc w:val="right"/>
      </w:pPr>
      <w:r>
        <w:rPr>
          <w:rFonts w:ascii="David" w:cs="David" w:eastAsia="David" w:hAnsi="David"/>
          <w:b/>
          <w:bCs/>
          <w:sz w:val="22"/>
          <w:szCs w:val="22"/>
          <w:rtl/>
        </w:rPr>
        <w:t xml:space="preserve">6. סיבוכים </w:t>
      </w:r>
      <w:r>
        <w:rPr>
          <w:rFonts w:ascii="David" w:cs="David" w:eastAsia="David" w:hAnsi="David"/>
          <w:sz w:val="22"/>
          <w:szCs w:val="22"/>
          <w:rtl/>
        </w:rPr>
        <w:t xml:space="preserve">גרורות מרוחקות (עצם, ריאה, כבד, מוח), לימפאדמה של הזרוע לאחר ניתוח/הקרנה עם פינוי בלוטות בית שחי, סיבוכי טיפול (ראה פרק 12 — כימותרפיה/הקרנות).</w:t>
      </w:r>
    </w:p>
    <w:p>
      <w:pPr>
        <w:bidi/>
        <w:spacing w:after="140"/>
        <w:jc w:val="right"/>
      </w:pPr>
      <w:r>
        <w:rPr>
          <w:rFonts w:ascii="David" w:cs="David" w:eastAsia="David" w:hAnsi="David"/>
          <w:b/>
          <w:bCs/>
          <w:sz w:val="22"/>
          <w:szCs w:val="22"/>
          <w:rtl/>
        </w:rPr>
        <w:t xml:space="preserve">7. טיפול רפואי </w:t>
      </w:r>
      <w:r>
        <w:rPr>
          <w:rFonts w:ascii="David" w:cs="David" w:eastAsia="David" w:hAnsi="David"/>
          <w:sz w:val="22"/>
          <w:szCs w:val="22"/>
          <w:rtl/>
        </w:rPr>
        <w:t xml:space="preserve">ניתוח — כריתה משמרת שד (למפקטומיה) + הקרנות, או כריתת שד מלאה (מסטקטומיה);</w:t>
      </w:r>
    </w:p>
    <w:p>
      <w:pPr>
        <w:bidi/>
        <w:spacing w:after="140"/>
        <w:jc w:val="right"/>
      </w:pPr>
      <w:r>
        <w:rPr>
          <w:rFonts w:ascii="David" w:cs="David" w:eastAsia="David" w:hAnsi="David"/>
          <w:b/>
          <w:bCs/>
          <w:sz w:val="22"/>
          <w:szCs w:val="22"/>
          <w:rtl/>
        </w:rPr>
        <w:t xml:space="preserve">8. תהליך סיעודי </w:t>
      </w:r>
      <w:r>
        <w:rPr>
          <w:rFonts w:ascii="David" w:cs="David" w:eastAsia="David" w:hAnsi="David"/>
          <w:sz w:val="22"/>
          <w:szCs w:val="22"/>
          <w:rtl/>
        </w:rPr>
        <w:t xml:space="preserve">תמיכה רגשית משמעותית סביב האבחנה ופגיעה בדימוי הגוף, חינוך טרום-ניתוחי, טיפול בזרוע לאחר פינוי בלוטות (הימנעות מדקירות/מדידת ל"ד בזרוע המעורבת, זיהוי מוקדם של לימפאדמה), תמיכה בהחלטות טיפוליות (שחזור שד, אפשרויות טיפול).</w:t>
      </w:r>
    </w:p>
    <w:p>
      <w:pPr>
        <w:bidi/>
        <w:spacing w:after="140"/>
        <w:jc w:val="right"/>
      </w:pPr>
      <w:r>
        <w:rPr>
          <w:rFonts w:ascii="David" w:cs="David" w:eastAsia="David" w:hAnsi="David"/>
          <w:b/>
          <w:bCs/>
          <w:sz w:val="22"/>
          <w:szCs w:val="22"/>
          <w:rtl/>
        </w:rPr>
        <w:t xml:space="preserve">9. תזונה/אורח חיים/חינוך </w:t>
      </w:r>
      <w:r>
        <w:rPr>
          <w:rFonts w:ascii="David" w:cs="David" w:eastAsia="David" w:hAnsi="David"/>
          <w:sz w:val="22"/>
          <w:szCs w:val="22"/>
          <w:rtl/>
        </w:rPr>
        <w:t xml:space="preserve">עידוד בדיקה עצמית של השד ובדיקות סקר תקופתיות (ממוגרפיה) בהתאם להנחיות גיל/סיכון, ניהול משקל ופעילות גופנית כגורמים מגני-סיכון, הימנעות מאלכוהול מופרז.</w:t>
      </w:r>
    </w:p>
    <w:p>
      <w:pPr>
        <w:bidi/>
        <w:spacing w:after="140"/>
        <w:jc w:val="right"/>
      </w:pPr>
      <w:r>
        <w:rPr>
          <w:rFonts w:ascii="David" w:cs="David" w:eastAsia="David" w:hAnsi="David"/>
          <w:b/>
          <w:bCs/>
          <w:sz w:val="22"/>
          <w:szCs w:val="22"/>
          <w:rtl/>
        </w:rPr>
        <w:t xml:space="preserve">10. תוצאות מצופות </w:t>
      </w:r>
      <w:r>
        <w:rPr>
          <w:rFonts w:ascii="David" w:cs="David" w:eastAsia="David" w:hAnsi="David"/>
          <w:sz w:val="22"/>
          <w:szCs w:val="22"/>
          <w:rtl/>
        </w:rPr>
        <w:t xml:space="preserve">אבחון מוקדם ככל האפשר (משפר משמעותית פרוגנוזה), הסרה מלאה של הגידול עם שוליים נקיים, מניעת הישנות מקומית/גרורתית, שימור תפקוד ואיכות חיים.</w:t>
      </w:r>
    </w:p>
    <w:p>
      <w:r>
        <w:br w:type="page"/>
      </w:r>
    </w:p>
    <w:p>
      <w:pPr>
        <w:pStyle w:val="Heading1"/>
        <w:bidi/>
        <w:jc w:val="right"/>
      </w:pPr>
      <w:r>
        <w:rPr>
          <w:rFonts w:ascii="David" w:cs="David" w:eastAsia="David" w:hAnsi="David"/>
          <w:rtl/>
        </w:rPr>
        <w:t xml:space="preserve">מצבים שפירים בשד</w:t>
      </w:r>
    </w:p>
    <w:p>
      <w:pPr>
        <w:pStyle w:val="Heading3"/>
        <w:bidi/>
        <w:spacing w:after="100" w:before="200"/>
        <w:jc w:val="right"/>
      </w:pPr>
      <w:r>
        <w:rPr>
          <w:rFonts w:ascii="David" w:cs="David" w:eastAsia="David" w:hAnsi="David"/>
          <w:b/>
          <w:bCs/>
          <w:color w:val="1F4E79"/>
          <w:sz w:val="24"/>
          <w:szCs w:val="24"/>
          <w:rtl/>
        </w:rPr>
        <w:t xml:space="preserve">רמה 1 — מלא</w:t>
      </w:r>
    </w:p>
    <w:p>
      <w:pPr>
        <w:bidi/>
        <w:spacing w:after="140"/>
        <w:jc w:val="right"/>
      </w:pPr>
      <w:r>
        <w:rPr>
          <w:rFonts w:ascii="David" w:cs="David" w:eastAsia="David" w:hAnsi="David"/>
          <w:b/>
          <w:bCs/>
          <w:sz w:val="22"/>
          <w:szCs w:val="22"/>
          <w:rtl/>
        </w:rPr>
        <w:t xml:space="preserve">1. הגדרה </w:t>
      </w:r>
      <w:r>
        <w:rPr>
          <w:rFonts w:ascii="David" w:cs="David" w:eastAsia="David" w:hAnsi="David"/>
          <w:sz w:val="22"/>
          <w:szCs w:val="22"/>
          <w:rtl/>
        </w:rPr>
        <w:t xml:space="preserve">מגוון שינויים לא-ממאירים ברקמת השד: ציסטות שד (שקיות נוזל), פיברואדנומה (גידול שפיר מוצק, שכיח בנשים צעירות), שינוי פיברוקיסטי (רגישות ותחושת גושיות מחזורית), מסטיטיס (דלקת שד, בעיקר בהנקה).</w:t>
      </w:r>
    </w:p>
    <w:p>
      <w:pPr>
        <w:bidi/>
        <w:spacing w:after="140"/>
        <w:jc w:val="right"/>
      </w:pPr>
      <w:r>
        <w:rPr>
          <w:rFonts w:ascii="David" w:cs="David" w:eastAsia="David" w:hAnsi="David"/>
          <w:b/>
          <w:bCs/>
          <w:sz w:val="22"/>
          <w:szCs w:val="22"/>
          <w:rtl/>
        </w:rPr>
        <w:t xml:space="preserve">2. פתופיזיולוגיה </w:t>
      </w:r>
      <w:r>
        <w:rPr>
          <w:rFonts w:ascii="David" w:cs="David" w:eastAsia="David" w:hAnsi="David"/>
          <w:sz w:val="22"/>
          <w:szCs w:val="22"/>
          <w:rtl/>
        </w:rPr>
        <w:t xml:space="preserve">ציסטות ושינוי פיברוקיסטי — תגובה לתנודות הורמונליות מחזוריות. פיברואדנומה — שגשוג שפיר של רקמת חיבור ואפיתל. מסטיטיס — זיהום חיידקי (לרוב סטפילוקוקוס) דרך סדקים בפטמה בהנקה.</w:t>
      </w:r>
    </w:p>
    <w:p>
      <w:pPr>
        <w:bidi/>
        <w:spacing w:after="140"/>
        <w:jc w:val="right"/>
      </w:pPr>
      <w:r>
        <w:rPr>
          <w:rFonts w:ascii="David" w:cs="David" w:eastAsia="David" w:hAnsi="David"/>
          <w:b/>
          <w:bCs/>
          <w:sz w:val="22"/>
          <w:szCs w:val="22"/>
          <w:rtl/>
        </w:rPr>
        <w:t xml:space="preserve">3. מערכות מעורבות </w:t>
      </w:r>
      <w:r>
        <w:rPr>
          <w:rFonts w:ascii="David" w:cs="David" w:eastAsia="David" w:hAnsi="David"/>
          <w:sz w:val="22"/>
          <w:szCs w:val="22"/>
          <w:rtl/>
        </w:rPr>
        <w:t xml:space="preserve">רקמת השד בלבד; מסטיטיס עלולה להתלוות לתסמינים סיסטמיים קלים (חום).</w:t>
      </w:r>
    </w:p>
    <w:p>
      <w:pPr>
        <w:bidi/>
        <w:spacing w:after="140"/>
        <w:jc w:val="right"/>
      </w:pPr>
      <w:r>
        <w:rPr>
          <w:rFonts w:ascii="David" w:cs="David" w:eastAsia="David" w:hAnsi="David"/>
          <w:b/>
          <w:bCs/>
          <w:sz w:val="22"/>
          <w:szCs w:val="22"/>
          <w:rtl/>
        </w:rPr>
        <w:t xml:space="preserve">4. ביטויים קליניים </w:t>
      </w:r>
      <w:r>
        <w:rPr>
          <w:rFonts w:ascii="David" w:cs="David" w:eastAsia="David" w:hAnsi="David"/>
          <w:sz w:val="22"/>
          <w:szCs w:val="22"/>
          <w:rtl/>
        </w:rPr>
        <w:t xml:space="preserve">ציסטות/שינוי פיברוקיסטי: רגישות וכאב מחזורי, גושים מרובים, רכים, ניידים, המחמירים לפני הווסת. פיברואדנומה: גוש חלק, גומי, נייד, לא-כואב, יציב בגודלו. מסטיטיס: אזור אדום, חם, כואב וקשה בשד, לרוב חד-צדדי, לעיתים עם חום.</w:t>
      </w:r>
    </w:p>
    <w:p>
      <w:pPr>
        <w:bidi/>
        <w:spacing w:after="140"/>
        <w:jc w:val="right"/>
      </w:pPr>
      <w:r>
        <w:rPr>
          <w:rFonts w:ascii="David" w:cs="David" w:eastAsia="David" w:hAnsi="David"/>
          <w:b/>
          <w:bCs/>
          <w:sz w:val="22"/>
          <w:szCs w:val="22"/>
          <w:rtl/>
        </w:rPr>
        <w:t xml:space="preserve">5. הערכה ואבחון </w:t>
      </w:r>
      <w:r>
        <w:rPr>
          <w:rFonts w:ascii="David" w:cs="David" w:eastAsia="David" w:hAnsi="David"/>
          <w:sz w:val="22"/>
          <w:szCs w:val="22"/>
          <w:rtl/>
        </w:rPr>
        <w:t xml:space="preserve">אולטרסאונד שד להבחנה בין ציסטה (נוזלית) למוצק, ביופסיה במקרה של ספק אבחנתי, בדיקה קלינית לאישור מאפיינים שפירים אופייניים.</w:t>
      </w:r>
    </w:p>
    <w:p>
      <w:pPr>
        <w:bidi/>
        <w:spacing w:after="140"/>
        <w:jc w:val="right"/>
      </w:pPr>
      <w:r>
        <w:rPr>
          <w:rFonts w:ascii="David" w:cs="David" w:eastAsia="David" w:hAnsi="David"/>
          <w:b/>
          <w:bCs/>
          <w:sz w:val="22"/>
          <w:szCs w:val="22"/>
          <w:rtl/>
        </w:rPr>
        <w:t xml:space="preserve">6. סיבוכים </w:t>
      </w:r>
      <w:r>
        <w:rPr>
          <w:rFonts w:ascii="David" w:cs="David" w:eastAsia="David" w:hAnsi="David"/>
          <w:sz w:val="22"/>
          <w:szCs w:val="22"/>
          <w:rtl/>
        </w:rPr>
        <w:t xml:space="preserve">מסטיטיס לא-מטופלת עלולה להתקדם לאבצס שד המצריך ניקוז.</w:t>
      </w:r>
    </w:p>
    <w:p>
      <w:pPr>
        <w:bidi/>
        <w:spacing w:after="140"/>
        <w:jc w:val="right"/>
      </w:pPr>
      <w:r>
        <w:rPr>
          <w:rFonts w:ascii="David" w:cs="David" w:eastAsia="David" w:hAnsi="David"/>
          <w:b/>
          <w:bCs/>
          <w:sz w:val="22"/>
          <w:szCs w:val="22"/>
          <w:rtl/>
        </w:rPr>
        <w:t xml:space="preserve">7. טיפול </w:t>
      </w:r>
      <w:r>
        <w:rPr>
          <w:rFonts w:ascii="David" w:cs="David" w:eastAsia="David" w:hAnsi="David"/>
          <w:sz w:val="22"/>
          <w:szCs w:val="22"/>
          <w:rtl/>
        </w:rPr>
        <w:t xml:space="preserve">ציסטות: שאיבה במחט אם סימפטומטיות. פיברואדנומה: מעקב או כריתה לפי גודל/העדפת המטופלת. מסטיטיס: אנטיביוטיקה, המשך הנקה/שאיבה (חשוב לניקוז), חום מקומי וכאבים.</w:t>
      </w:r>
    </w:p>
    <w:p>
      <w:pPr>
        <w:bidi/>
        <w:spacing w:after="140"/>
        <w:jc w:val="right"/>
      </w:pPr>
      <w:r>
        <w:rPr>
          <w:rFonts w:ascii="David" w:cs="David" w:eastAsia="David" w:hAnsi="David"/>
          <w:b/>
          <w:bCs/>
          <w:sz w:val="22"/>
          <w:szCs w:val="22"/>
          <w:rtl/>
        </w:rPr>
        <w:t xml:space="preserve">8. תהליך סיעודי </w:t>
      </w:r>
      <w:r>
        <w:rPr>
          <w:rFonts w:ascii="David" w:cs="David" w:eastAsia="David" w:hAnsi="David"/>
          <w:sz w:val="22"/>
          <w:szCs w:val="22"/>
          <w:rtl/>
        </w:rPr>
        <w:t xml:space="preserve">הרגעת המטופלת לגבי אופי שפיר לאחר אישור אבחנתי, חינוך על טכניקת הנקה נכונה למניעת מסטיטיס, עידוד המשך הנקה גם בזמן מסטיטיס (אינה מזיקה לתינוק).</w:t>
      </w:r>
    </w:p>
    <w:p>
      <w:pPr>
        <w:bidi/>
        <w:spacing w:after="140"/>
        <w:jc w:val="right"/>
      </w:pPr>
      <w:r>
        <w:rPr>
          <w:rFonts w:ascii="David" w:cs="David" w:eastAsia="David" w:hAnsi="David"/>
          <w:b/>
          <w:bCs/>
          <w:sz w:val="22"/>
          <w:szCs w:val="22"/>
          <w:rtl/>
        </w:rPr>
        <w:t xml:space="preserve">9-10. חינוך ותוצאות מצופות </w:t>
      </w:r>
      <w:r>
        <w:rPr>
          <w:rFonts w:ascii="David" w:cs="David" w:eastAsia="David" w:hAnsi="David"/>
          <w:sz w:val="22"/>
          <w:szCs w:val="22"/>
          <w:rtl/>
        </w:rPr>
        <w:t xml:space="preserve">חינוך שגושים שפירים אינם מעלים משמעותית סיכון לסרטן (למעט חריגים היסטולוגיים ספציפיים); מטרה — הקלה על תסמינים, החלמה מלאה ממסטיטיס, המשך מעקב שגרתי.</w:t>
      </w:r>
    </w:p>
    <w:p>
      <w:pPr>
        <w:pStyle w:val="Heading3"/>
        <w:bidi/>
        <w:spacing w:after="100" w:before="200"/>
        <w:jc w:val="right"/>
      </w:pPr>
      <w:r>
        <w:rPr>
          <w:rFonts w:ascii="David" w:cs="David" w:eastAsia="David" w:hAnsi="David"/>
          <w:b/>
          <w:bCs/>
          <w:color w:val="1F4E79"/>
          <w:sz w:val="24"/>
          <w:szCs w:val="24"/>
          <w:rtl/>
        </w:rPr>
        <w:t xml:space="preserve">רמה 2 — ביניים</w:t>
      </w:r>
    </w:p>
    <w:p>
      <w:pPr>
        <w:bidi/>
        <w:spacing w:after="140"/>
        <w:jc w:val="right"/>
      </w:pPr>
      <w:r>
        <w:rPr>
          <w:rFonts w:ascii="David" w:cs="David" w:eastAsia="David" w:hAnsi="David"/>
          <w:b/>
          <w:bCs/>
          <w:sz w:val="22"/>
          <w:szCs w:val="22"/>
          <w:rtl/>
        </w:rPr>
        <w:t xml:space="preserve">1. הגדרה </w:t>
      </w:r>
      <w:r>
        <w:rPr>
          <w:rFonts w:ascii="David" w:cs="David" w:eastAsia="David" w:hAnsi="David"/>
          <w:sz w:val="22"/>
          <w:szCs w:val="22"/>
          <w:rtl/>
        </w:rPr>
        <w:t xml:space="preserve">מגוון שינויים לא-ממאירים ברקמת השד: ציסטות שד (שקיות נוזל), פיברואדנומה (גידול שפיר מוצק, שכיח בנשים צעירות), שינוי פיברוקיסטי (רגישות ותחושת גושיות מחזורית), מסטיטיס (דלקת שד, בעיקר בהנקה).</w:t>
      </w:r>
    </w:p>
    <w:p>
      <w:pPr>
        <w:bidi/>
        <w:spacing w:after="140"/>
        <w:jc w:val="right"/>
      </w:pPr>
      <w:r>
        <w:rPr>
          <w:rFonts w:ascii="David" w:cs="David" w:eastAsia="David" w:hAnsi="David"/>
          <w:b/>
          <w:bCs/>
          <w:sz w:val="22"/>
          <w:szCs w:val="22"/>
          <w:rtl/>
        </w:rPr>
        <w:t xml:space="preserve">2. פתופיזיולוגיה </w:t>
      </w:r>
      <w:r>
        <w:rPr>
          <w:rFonts w:ascii="David" w:cs="David" w:eastAsia="David" w:hAnsi="David"/>
          <w:sz w:val="22"/>
          <w:szCs w:val="22"/>
          <w:rtl/>
        </w:rPr>
        <w:t xml:space="preserve">ציסטות ושינוי פיברוקיסטי — תגובה לתנודות הורמונליות מחזוריות.</w:t>
      </w:r>
    </w:p>
    <w:p>
      <w:pPr>
        <w:bidi/>
        <w:spacing w:after="140"/>
        <w:jc w:val="right"/>
      </w:pPr>
      <w:r>
        <w:rPr>
          <w:rFonts w:ascii="David" w:cs="David" w:eastAsia="David" w:hAnsi="David"/>
          <w:b/>
          <w:bCs/>
          <w:sz w:val="22"/>
          <w:szCs w:val="22"/>
          <w:rtl/>
        </w:rPr>
        <w:t xml:space="preserve">3. מערכות מעורבות </w:t>
      </w:r>
      <w:r>
        <w:rPr>
          <w:rFonts w:ascii="David" w:cs="David" w:eastAsia="David" w:hAnsi="David"/>
          <w:sz w:val="22"/>
          <w:szCs w:val="22"/>
          <w:rtl/>
        </w:rPr>
        <w:t xml:space="preserve">רקמת השד בלבד;</w:t>
      </w:r>
    </w:p>
    <w:p>
      <w:pPr>
        <w:bidi/>
        <w:spacing w:after="140"/>
        <w:jc w:val="right"/>
      </w:pPr>
      <w:r>
        <w:rPr>
          <w:rFonts w:ascii="David" w:cs="David" w:eastAsia="David" w:hAnsi="David"/>
          <w:b/>
          <w:bCs/>
          <w:sz w:val="22"/>
          <w:szCs w:val="22"/>
          <w:rtl/>
        </w:rPr>
        <w:t xml:space="preserve">4. ביטויים קליניים </w:t>
      </w:r>
      <w:r>
        <w:rPr>
          <w:rFonts w:ascii="David" w:cs="David" w:eastAsia="David" w:hAnsi="David"/>
          <w:sz w:val="22"/>
          <w:szCs w:val="22"/>
          <w:rtl/>
        </w:rPr>
        <w:t xml:space="preserve">ציסטות/שינוי פיברוקיסטי: רגישות וכאב מחזורי, גושים מרובים, רכים, ניידים, המחמירים לפני הווסת.</w:t>
      </w:r>
    </w:p>
    <w:p>
      <w:pPr>
        <w:bidi/>
        <w:spacing w:after="140"/>
        <w:jc w:val="right"/>
      </w:pPr>
      <w:r>
        <w:rPr>
          <w:rFonts w:ascii="David" w:cs="David" w:eastAsia="David" w:hAnsi="David"/>
          <w:b/>
          <w:bCs/>
          <w:sz w:val="22"/>
          <w:szCs w:val="22"/>
          <w:rtl/>
        </w:rPr>
        <w:t xml:space="preserve">5. הערכה ואבחון </w:t>
      </w:r>
      <w:r>
        <w:rPr>
          <w:rFonts w:ascii="David" w:cs="David" w:eastAsia="David" w:hAnsi="David"/>
          <w:sz w:val="22"/>
          <w:szCs w:val="22"/>
          <w:rtl/>
        </w:rPr>
        <w:t xml:space="preserve">אולטרסאונד שד להבחנה בין ציסטה (נוזלית) למוצק, ביופסיה במקרה של ספק אבחנתי, בדיקה קלינית לאישור מאפיינים שפירים אופייניים.</w:t>
      </w:r>
    </w:p>
    <w:p>
      <w:pPr>
        <w:bidi/>
        <w:spacing w:after="140"/>
        <w:jc w:val="right"/>
      </w:pPr>
      <w:r>
        <w:rPr>
          <w:rFonts w:ascii="David" w:cs="David" w:eastAsia="David" w:hAnsi="David"/>
          <w:b/>
          <w:bCs/>
          <w:sz w:val="22"/>
          <w:szCs w:val="22"/>
          <w:rtl/>
        </w:rPr>
        <w:t xml:space="preserve">6. סיבוכים </w:t>
      </w:r>
      <w:r>
        <w:rPr>
          <w:rFonts w:ascii="David" w:cs="David" w:eastAsia="David" w:hAnsi="David"/>
          <w:sz w:val="22"/>
          <w:szCs w:val="22"/>
          <w:rtl/>
        </w:rPr>
        <w:t xml:space="preserve">מסטיטיס לא-מטופלת עלולה להתקדם לאבצס שד המצריך ניקוז.</w:t>
      </w:r>
    </w:p>
    <w:p>
      <w:pPr>
        <w:bidi/>
        <w:spacing w:after="140"/>
        <w:jc w:val="right"/>
      </w:pPr>
      <w:r>
        <w:rPr>
          <w:rFonts w:ascii="David" w:cs="David" w:eastAsia="David" w:hAnsi="David"/>
          <w:b/>
          <w:bCs/>
          <w:sz w:val="22"/>
          <w:szCs w:val="22"/>
          <w:rtl/>
        </w:rPr>
        <w:t xml:space="preserve">7. טיפול </w:t>
      </w:r>
      <w:r>
        <w:rPr>
          <w:rFonts w:ascii="David" w:cs="David" w:eastAsia="David" w:hAnsi="David"/>
          <w:sz w:val="22"/>
          <w:szCs w:val="22"/>
          <w:rtl/>
        </w:rPr>
        <w:t xml:space="preserve">ציסטות: שאיבה במחט אם סימפטומטיות.</w:t>
      </w:r>
    </w:p>
    <w:p>
      <w:pPr>
        <w:bidi/>
        <w:spacing w:after="140"/>
        <w:jc w:val="right"/>
      </w:pPr>
      <w:r>
        <w:rPr>
          <w:rFonts w:ascii="David" w:cs="David" w:eastAsia="David" w:hAnsi="David"/>
          <w:b/>
          <w:bCs/>
          <w:sz w:val="22"/>
          <w:szCs w:val="22"/>
          <w:rtl/>
        </w:rPr>
        <w:t xml:space="preserve">8. תהליך סיעודי </w:t>
      </w:r>
      <w:r>
        <w:rPr>
          <w:rFonts w:ascii="David" w:cs="David" w:eastAsia="David" w:hAnsi="David"/>
          <w:sz w:val="22"/>
          <w:szCs w:val="22"/>
          <w:rtl/>
        </w:rPr>
        <w:t xml:space="preserve">הרגעת המטופלת לגבי אופי שפיר לאחר אישור אבחנתי, חינוך על טכניקת הנקה נכונה למניעת מסטיטיס, עידוד המשך הנקה גם בזמן מסטיטיס (אינה מזיקה לתינוק).</w:t>
      </w:r>
    </w:p>
    <w:p>
      <w:pPr>
        <w:bidi/>
        <w:spacing w:after="140"/>
        <w:jc w:val="right"/>
      </w:pPr>
      <w:r>
        <w:rPr>
          <w:rFonts w:ascii="David" w:cs="David" w:eastAsia="David" w:hAnsi="David"/>
          <w:b/>
          <w:bCs/>
          <w:sz w:val="22"/>
          <w:szCs w:val="22"/>
          <w:rtl/>
        </w:rPr>
        <w:t xml:space="preserve">9-10. חינוך ותוצאות מצופות </w:t>
      </w:r>
      <w:r>
        <w:rPr>
          <w:rFonts w:ascii="David" w:cs="David" w:eastAsia="David" w:hAnsi="David"/>
          <w:sz w:val="22"/>
          <w:szCs w:val="22"/>
          <w:rtl/>
        </w:rPr>
        <w:t xml:space="preserve">חינוך שגושים שפירים אינם מעלים משמעותית סיכון לסרטן (למעט חריגים היסטולוגיים ספציפיים);</w:t>
      </w:r>
    </w:p>
    <w:p>
      <w:r>
        <w:br w:type="page"/>
      </w:r>
    </w:p>
    <w:p>
      <w:pPr>
        <w:pStyle w:val="Heading1"/>
        <w:bidi/>
        <w:jc w:val="right"/>
      </w:pPr>
      <w:r>
        <w:rPr>
          <w:rFonts w:ascii="David" w:cs="David" w:eastAsia="David" w:hAnsi="David"/>
          <w:rtl/>
        </w:rPr>
        <w:t xml:space="preserve">רמה 3 — מקוצר: טבלת השוואה — מאפייני גוש שד שפיר לעומת ממאיר</w:t>
      </w:r>
    </w:p>
    <w:p>
      <w:pPr>
        <w:spacing w:after="200"/>
      </w:pPr>
    </w:p>
    <w:tbl>
      <w:tblPr>
        <w:bidiVisual/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rPr>
          <w:tblHeader/>
        </w:trPr>
        <w:tc>
          <w:tcPr>
            <w:tcW w:type="dxa" w:w="3000"/>
            <w:shd w:fill="1F4E79" w:val="clear"/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b/>
                <w:bCs/>
                <w:color w:val="FFFFFF"/>
                <w:sz w:val="20"/>
                <w:szCs w:val="20"/>
                <w:rtl/>
              </w:rPr>
              <w:t xml:space="preserve">מאפיין</w:t>
            </w:r>
          </w:p>
        </w:tc>
        <w:tc>
          <w:tcPr>
            <w:tcW w:type="dxa" w:w="3000"/>
            <w:shd w:fill="1F4E79" w:val="clear"/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b/>
                <w:bCs/>
                <w:color w:val="FFFFFF"/>
                <w:sz w:val="20"/>
                <w:szCs w:val="20"/>
                <w:rtl/>
              </w:rPr>
              <w:t xml:space="preserve">גוש שפיר (טיפוסי)</w:t>
            </w:r>
          </w:p>
        </w:tc>
        <w:tc>
          <w:tcPr>
            <w:tcW w:type="dxa" w:w="3000"/>
            <w:shd w:fill="1F4E79" w:val="clear"/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b/>
                <w:bCs/>
                <w:color w:val="FFFFFF"/>
                <w:sz w:val="20"/>
                <w:szCs w:val="20"/>
                <w:rtl/>
              </w:rPr>
              <w:t xml:space="preserve">גוש ממאיר (טיפוסי)</w:t>
            </w:r>
          </w:p>
        </w:tc>
      </w:tr>
      <w:tr>
        <w:tc>
          <w:tcPr>
            <w:tcW w:type="dxa" w:w="3000"/>
            <w:shd w:fill="F2F2F2" w:val="clear"/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sz w:val="20"/>
                <w:szCs w:val="20"/>
                <w:rtl/>
              </w:rPr>
              <w:t xml:space="preserve">מרקם</w:t>
            </w:r>
          </w:p>
        </w:tc>
        <w:tc>
          <w:tcPr>
            <w:tcW w:type="dxa" w:w="3000"/>
            <w:shd w:fill="F2F2F2" w:val="clear"/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sz w:val="20"/>
                <w:szCs w:val="20"/>
                <w:rtl/>
              </w:rPr>
              <w:t xml:space="preserve">רך-גומי, חלק</w:t>
            </w:r>
          </w:p>
        </w:tc>
        <w:tc>
          <w:tcPr>
            <w:tcW w:type="dxa" w:w="3000"/>
            <w:shd w:fill="F2F2F2" w:val="clear"/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sz w:val="20"/>
                <w:szCs w:val="20"/>
                <w:rtl/>
              </w:rPr>
              <w:t xml:space="preserve">קשה, לא-אחיד</w:t>
            </w:r>
          </w:p>
        </w:tc>
      </w:tr>
      <w:tr>
        <w:tc>
          <w:tcPr>
            <w:tcW w:type="dxa" w:w="3000"/>
            <w:shd w:fill="FFFFFF" w:val="clear"/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sz w:val="20"/>
                <w:szCs w:val="20"/>
                <w:rtl/>
              </w:rPr>
              <w:t xml:space="preserve">ניידות</w:t>
            </w:r>
          </w:p>
        </w:tc>
        <w:tc>
          <w:tcPr>
            <w:tcW w:type="dxa" w:w="3000"/>
            <w:shd w:fill="FFFFFF" w:val="clear"/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sz w:val="20"/>
                <w:szCs w:val="20"/>
                <w:rtl/>
              </w:rPr>
              <w:t xml:space="preserve">נייד בקלות</w:t>
            </w:r>
          </w:p>
        </w:tc>
        <w:tc>
          <w:tcPr>
            <w:tcW w:type="dxa" w:w="3000"/>
            <w:shd w:fill="FFFFFF" w:val="clear"/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sz w:val="20"/>
                <w:szCs w:val="20"/>
                <w:rtl/>
              </w:rPr>
              <w:t xml:space="preserve">בלתי-נייד/מקובע</w:t>
            </w:r>
          </w:p>
        </w:tc>
      </w:tr>
      <w:tr>
        <w:tc>
          <w:tcPr>
            <w:tcW w:type="dxa" w:w="3000"/>
            <w:shd w:fill="F2F2F2" w:val="clear"/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sz w:val="20"/>
                <w:szCs w:val="20"/>
                <w:rtl/>
              </w:rPr>
              <w:t xml:space="preserve">גבולות</w:t>
            </w:r>
          </w:p>
        </w:tc>
        <w:tc>
          <w:tcPr>
            <w:tcW w:type="dxa" w:w="3000"/>
            <w:shd w:fill="F2F2F2" w:val="clear"/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sz w:val="20"/>
                <w:szCs w:val="20"/>
                <w:rtl/>
              </w:rPr>
              <w:t xml:space="preserve">מוגדרים היטב</w:t>
            </w:r>
          </w:p>
        </w:tc>
        <w:tc>
          <w:tcPr>
            <w:tcW w:type="dxa" w:w="3000"/>
            <w:shd w:fill="F2F2F2" w:val="clear"/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sz w:val="20"/>
                <w:szCs w:val="20"/>
                <w:rtl/>
              </w:rPr>
              <w:t xml:space="preserve">לא-סדירים</w:t>
            </w:r>
          </w:p>
        </w:tc>
      </w:tr>
      <w:tr>
        <w:tc>
          <w:tcPr>
            <w:tcW w:type="dxa" w:w="3000"/>
            <w:shd w:fill="FFFFFF" w:val="clear"/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sz w:val="20"/>
                <w:szCs w:val="20"/>
                <w:rtl/>
              </w:rPr>
              <w:t xml:space="preserve">כאב</w:t>
            </w:r>
          </w:p>
        </w:tc>
        <w:tc>
          <w:tcPr>
            <w:tcW w:type="dxa" w:w="3000"/>
            <w:shd w:fill="FFFFFF" w:val="clear"/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sz w:val="20"/>
                <w:szCs w:val="20"/>
                <w:rtl/>
              </w:rPr>
              <w:t xml:space="preserve">לרוב כואב/רגיש, מחזורי</w:t>
            </w:r>
          </w:p>
        </w:tc>
        <w:tc>
          <w:tcPr>
            <w:tcW w:type="dxa" w:w="3000"/>
            <w:shd w:fill="FFFFFF" w:val="clear"/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sz w:val="20"/>
                <w:szCs w:val="20"/>
                <w:rtl/>
              </w:rPr>
              <w:t xml:space="preserve">לרוב לא-כואב</w:t>
            </w:r>
          </w:p>
        </w:tc>
      </w:tr>
      <w:tr>
        <w:tc>
          <w:tcPr>
            <w:tcW w:type="dxa" w:w="3000"/>
            <w:shd w:fill="F2F2F2" w:val="clear"/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sz w:val="20"/>
                <w:szCs w:val="20"/>
                <w:rtl/>
              </w:rPr>
              <w:t xml:space="preserve">שינוי עורי</w:t>
            </w:r>
          </w:p>
        </w:tc>
        <w:tc>
          <w:tcPr>
            <w:tcW w:type="dxa" w:w="3000"/>
            <w:shd w:fill="F2F2F2" w:val="clear"/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sz w:val="20"/>
                <w:szCs w:val="20"/>
                <w:rtl/>
              </w:rPr>
              <w:t xml:space="preserve">לרוב אין</w:t>
            </w:r>
          </w:p>
        </w:tc>
        <w:tc>
          <w:tcPr>
            <w:tcW w:type="dxa" w:w="3000"/>
            <w:shd w:fill="F2F2F2" w:val="clear"/>
          </w:tcPr>
          <w:p>
            <w:pPr>
              <w:bidi/>
              <w:jc w:val="right"/>
            </w:pPr>
            <w:r>
              <w:rPr>
                <w:rFonts w:ascii="David" w:cs="David" w:eastAsia="David" w:hAnsi="David"/>
                <w:sz w:val="20"/>
                <w:szCs w:val="20"/>
                <w:rtl/>
              </w:rPr>
              <w:t xml:space="preserve">עלול להופיע (קליפת תפוז, הפוך פטמה)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David" w:cs="David" w:eastAsia="David" w:hAnsi="David"/>
        <w:rtl/>
      </w:rPr>
    </w:rPrDefault>
    <w:pPrDefault>
      <w:pPr>
        <w:bidi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2026-07-02T11:37:11.924Z</dcterms:created>
  <dcterms:modified xsi:type="dcterms:W3CDTF">2026-07-02T11:37:11.924Z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