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400" w:before="2000"/>
        <w:jc w:val="center"/>
      </w:pPr>
      <w:r>
        <w:rPr>
          <w:rFonts w:ascii="David" w:cs="David" w:eastAsia="David" w:hAnsi="David"/>
          <w:b/>
          <w:bCs/>
          <w:sz w:val="40"/>
          <w:szCs w:val="40"/>
          <w:rtl/>
        </w:rPr>
        <w:t xml:space="preserve">פרק 58 — מחלות עיניים</w:t>
      </w:r>
    </w:p>
    <w:p>
      <w:pPr>
        <w:bidi/>
        <w:spacing w:after="200"/>
        <w:jc w:val="center"/>
      </w:pPr>
      <w:r>
        <w:rPr>
          <w:rFonts w:ascii="David" w:cs="David" w:eastAsia="David" w:hAnsi="David"/>
          <w:i/>
          <w:iCs/>
          <w:sz w:val="26"/>
          <w:szCs w:val="26"/>
          <w:rtl/>
        </w:rPr>
        <w:t xml:space="preserve">סיכום קליני-סיעודי לפי מסגרת 11 הסעיפים</w:t>
      </w:r>
    </w:p>
    <w:p>
      <w:pPr>
        <w:bidi/>
        <w:jc w:val="center"/>
      </w:pPr>
      <w:r>
        <w:rPr>
          <w:rFonts w:ascii="David" w:cs="David" w:eastAsia="David" w:hAnsi="David"/>
          <w:color w:val="666666"/>
          <w:sz w:val="20"/>
          <w:szCs w:val="20"/>
          <w:rtl/>
        </w:rPr>
        <w:t xml:space="preserve">מבוסס על: Brunner &amp; Suddarth's Textbook of Medical-Surgical Nursing, 15th Edition, Chapter 58</w:t>
      </w:r>
    </w:p>
    <w:p>
      <w:r>
        <w:br w:type="page"/>
      </w:r>
    </w:p>
    <w:p>
      <w:pPr>
        <w:pStyle w:val="Heading1"/>
        <w:bidi/>
        <w:jc w:val="right"/>
      </w:pPr>
      <w:r>
        <w:rPr>
          <w:rFonts w:ascii="David" w:cs="David" w:eastAsia="David" w:hAnsi="David"/>
          <w:rtl/>
        </w:rPr>
        <w:t xml:space="preserve">גלאוקומה (Glaucoma)</w:t>
      </w:r>
    </w:p>
    <w:p>
      <w:pPr>
        <w:pStyle w:val="Heading3"/>
        <w:bidi/>
        <w:spacing w:after="100" w:before="200"/>
        <w:jc w:val="right"/>
      </w:pPr>
      <w:r>
        <w:rPr>
          <w:rFonts w:ascii="David" w:cs="David" w:eastAsia="David" w:hAnsi="David"/>
          <w:b/>
          <w:bCs/>
          <w:color w:val="1F4E79"/>
          <w:sz w:val="24"/>
          <w:szCs w:val="24"/>
          <w:rtl/>
        </w:rPr>
        <w:t xml:space="preserve">רמה 1 — מלא</w:t>
      </w:r>
    </w:p>
    <w:p>
      <w:pPr>
        <w:bidi/>
        <w:spacing w:after="140"/>
        <w:jc w:val="right"/>
      </w:pPr>
      <w:r>
        <w:rPr>
          <w:rFonts w:ascii="David" w:cs="David" w:eastAsia="David" w:hAnsi="David"/>
          <w:b/>
          <w:bCs/>
          <w:sz w:val="22"/>
          <w:szCs w:val="22"/>
          <w:rtl/>
        </w:rPr>
        <w:t xml:space="preserve">1. הגדרה ואטיולוגיה </w:t>
      </w:r>
      <w:r>
        <w:rPr>
          <w:rFonts w:ascii="David" w:cs="David" w:eastAsia="David" w:hAnsi="David"/>
          <w:sz w:val="22"/>
          <w:szCs w:val="22"/>
          <w:rtl/>
        </w:rPr>
        <w:t xml:space="preserve">קבוצת מחלות עין המאופיינות בפגיעה מתקדמת בעצב הראייה, לרוב (אך לא תמיד) הקשורה בעלייה בלחץ התוך-עיני. גלאוקומה בזווית פתוחה — הסוג השכיח, כרונית ואיטית. גלאוקומה בזווית סגורה — פחות שכיחה, עלולה להיות חריפה ומהירה.</w:t>
      </w:r>
    </w:p>
    <w:p>
      <w:pPr>
        <w:bidi/>
        <w:spacing w:after="140"/>
        <w:jc w:val="right"/>
      </w:pPr>
      <w:r>
        <w:rPr>
          <w:rFonts w:ascii="David" w:cs="David" w:eastAsia="David" w:hAnsi="David"/>
          <w:b/>
          <w:bCs/>
          <w:sz w:val="22"/>
          <w:szCs w:val="22"/>
          <w:rtl/>
        </w:rPr>
        <w:t xml:space="preserve">2. פתופיזיולוגיה </w:t>
      </w:r>
      <w:r>
        <w:rPr>
          <w:rFonts w:ascii="David" w:cs="David" w:eastAsia="David" w:hAnsi="David"/>
          <w:sz w:val="22"/>
          <w:szCs w:val="22"/>
          <w:rtl/>
        </w:rPr>
        <w:t xml:space="preserve">זווית פתוחה: ניקוז לא-יעיל של נוזל תוך-עיני (Aqueous Humor) דרך הרשת הטרבקולרית למרות זווית ניקוז פתוחה מבנית → עלייה הדרגתית בלחץ תוך-עיני → פגיעה מתקדמת בסיבי עצב הראייה. זווית סגורה: חסימה פיזית פתאומית של זווית הניקוז → עלייה חדה וקיצונית בלחץ התוך-עיני — מצב חירום.</w:t>
      </w:r>
    </w:p>
    <w:p>
      <w:pPr>
        <w:bidi/>
        <w:spacing w:after="140"/>
        <w:jc w:val="right"/>
      </w:pPr>
      <w:r>
        <w:rPr>
          <w:rFonts w:ascii="David" w:cs="David" w:eastAsia="David" w:hAnsi="David"/>
          <w:b/>
          <w:bCs/>
          <w:sz w:val="22"/>
          <w:szCs w:val="22"/>
          <w:rtl/>
        </w:rPr>
        <w:t xml:space="preserve">3. מערכות מעורבות </w:t>
      </w:r>
      <w:r>
        <w:rPr>
          <w:rFonts w:ascii="David" w:cs="David" w:eastAsia="David" w:hAnsi="David"/>
          <w:sz w:val="22"/>
          <w:szCs w:val="22"/>
          <w:rtl/>
        </w:rPr>
        <w:t xml:space="preserve">עינית — עצב הראייה, שדה הראייה.</w:t>
      </w:r>
    </w:p>
    <w:p>
      <w:pPr>
        <w:bidi/>
        <w:spacing w:after="140"/>
        <w:jc w:val="right"/>
      </w:pPr>
      <w:r>
        <w:rPr>
          <w:rFonts w:ascii="David" w:cs="David" w:eastAsia="David" w:hAnsi="David"/>
          <w:b/>
          <w:bCs/>
          <w:sz w:val="22"/>
          <w:szCs w:val="22"/>
          <w:rtl/>
        </w:rPr>
        <w:t xml:space="preserve">4. ביטויים קליניים </w:t>
      </w:r>
      <w:r>
        <w:rPr>
          <w:rFonts w:ascii="David" w:cs="David" w:eastAsia="David" w:hAnsi="David"/>
          <w:sz w:val="22"/>
          <w:szCs w:val="22"/>
          <w:rtl/>
        </w:rPr>
        <w:t xml:space="preserve">זווית פתוחה: א-סימפטומטית ברוב המקרים עד לשלב מתקדם — אובדן הדרגתי של שדה הראייה ההיקפי ('ראיית מנהרה' בשלב מתקדם), ללא כאב. זווית סגורה חריפה: כאב עין עז פתאומי, אודם, טשטוש ראייה, ראיית הילות סביב אורות, בחילות/הקאות, אישון קבוע ומורחב למחצה — מצב חירום אופתלמולוגי.</w:t>
      </w:r>
    </w:p>
    <w:p>
      <w:pPr>
        <w:bidi/>
        <w:spacing w:after="140"/>
        <w:jc w:val="right"/>
      </w:pPr>
      <w:r>
        <w:rPr>
          <w:rFonts w:ascii="David" w:cs="David" w:eastAsia="David" w:hAnsi="David"/>
          <w:b/>
          <w:bCs/>
          <w:sz w:val="22"/>
          <w:szCs w:val="22"/>
          <w:rtl/>
        </w:rPr>
        <w:t xml:space="preserve">5. הערכה ואבחון </w:t>
      </w:r>
      <w:r>
        <w:rPr>
          <w:rFonts w:ascii="David" w:cs="David" w:eastAsia="David" w:hAnsi="David"/>
          <w:sz w:val="22"/>
          <w:szCs w:val="22"/>
          <w:rtl/>
        </w:rPr>
        <w:t xml:space="preserve">טונומטריה — מדידת לחץ תוך-עיני (תקין 10-21 מ"מ כספית); בדיקת שדה ראייה (Perimetry) לזיהוי אובדן היקפי; בדיקת עצב הראייה (Ophthalmoscopy) — הערכת יחס Cup-to-Disc; Gonioscopy להערכת זווית הניקוז.</w:t>
      </w:r>
    </w:p>
    <w:p>
      <w:pPr>
        <w:bidi/>
        <w:spacing w:after="140"/>
        <w:jc w:val="right"/>
      </w:pPr>
      <w:r>
        <w:rPr>
          <w:rFonts w:ascii="David" w:cs="David" w:eastAsia="David" w:hAnsi="David"/>
          <w:b/>
          <w:bCs/>
          <w:sz w:val="22"/>
          <w:szCs w:val="22"/>
          <w:rtl/>
        </w:rPr>
        <w:t xml:space="preserve">6. סיבוכים </w:t>
      </w:r>
      <w:r>
        <w:rPr>
          <w:rFonts w:ascii="David" w:cs="David" w:eastAsia="David" w:hAnsi="David"/>
          <w:sz w:val="22"/>
          <w:szCs w:val="22"/>
          <w:rtl/>
        </w:rPr>
        <w:t xml:space="preserve">אובדן ראייה בלתי הפיך ועיוורון אם לא מטופלת (הנזק לעצב הראייה קבוע ואינו הפיך — לכן אבחון וטיפול מוקדמים קריטיים); בגלאוקומה בזווית סגורה חריפה — איבוד ראייה מהיר תוך שעות ללא טיפול דחוף.</w:t>
      </w:r>
    </w:p>
    <w:p>
      <w:pPr>
        <w:bidi/>
        <w:spacing w:after="140"/>
        <w:jc w:val="right"/>
      </w:pPr>
      <w:r>
        <w:rPr>
          <w:rFonts w:ascii="David" w:cs="David" w:eastAsia="David" w:hAnsi="David"/>
          <w:b/>
          <w:bCs/>
          <w:sz w:val="22"/>
          <w:szCs w:val="22"/>
          <w:rtl/>
        </w:rPr>
        <w:t xml:space="preserve">7. טיפול רפואי </w:t>
      </w:r>
      <w:r>
        <w:rPr>
          <w:rFonts w:ascii="David" w:cs="David" w:eastAsia="David" w:hAnsi="David"/>
          <w:sz w:val="22"/>
          <w:szCs w:val="22"/>
          <w:rtl/>
        </w:rPr>
        <w:t xml:space="preserve">טיפות עיניים להורדת לחץ תוך-עיני (אנלוגים לפרוסטגלנדין כקו ראשון, חוסמי בטא, מעכבי קרבוניק-אנהידראז); לייזר טרבקולופלסטיקה; ניתוח (טרבקולקטומיה) במחלה עמידה. בזווית סגורה חריפה — טיפול דחוף להורדת הלחץ (תרופתי ולייזר Iridotomy) כחירום.</w:t>
      </w:r>
    </w:p>
    <w:p>
      <w:pPr>
        <w:bidi/>
        <w:spacing w:after="140"/>
        <w:jc w:val="right"/>
      </w:pPr>
      <w:r>
        <w:rPr>
          <w:rFonts w:ascii="David" w:cs="David" w:eastAsia="David" w:hAnsi="David"/>
          <w:b/>
          <w:bCs/>
          <w:sz w:val="22"/>
          <w:szCs w:val="22"/>
          <w:rtl/>
        </w:rPr>
        <w:t xml:space="preserve">8. תהליך סיעודי </w:t>
      </w:r>
      <w:r>
        <w:rPr>
          <w:rFonts w:ascii="David" w:cs="David" w:eastAsia="David" w:hAnsi="David"/>
          <w:sz w:val="22"/>
          <w:szCs w:val="22"/>
          <w:rtl/>
        </w:rPr>
        <w:t xml:space="preserve">חינוך קפדני להיענות לטיפות עיניים יומיומיות (הפסקת טיפול עלולה לגרום לנזק בלתי הפיך גם ללא תסמינים מוחשים), הדרכה לטכניקת החדרת טיפות נכונה (לחיצה על נקודת הדמעה למניעת ספיגה סיסטמית), זיהוי דחוף של תסמיני גלאוקומה בזווית סגורה חריפה כחירום רפואי.</w:t>
      </w:r>
    </w:p>
    <w:p>
      <w:pPr>
        <w:bidi/>
        <w:spacing w:after="140"/>
        <w:jc w:val="right"/>
      </w:pPr>
      <w:r>
        <w:rPr>
          <w:rFonts w:ascii="David" w:cs="David" w:eastAsia="David" w:hAnsi="David"/>
          <w:b/>
          <w:bCs/>
          <w:sz w:val="22"/>
          <w:szCs w:val="22"/>
          <w:rtl/>
        </w:rPr>
        <w:t xml:space="preserve">9. תזונה/אורח חיים/חינוך </w:t>
      </w:r>
      <w:r>
        <w:rPr>
          <w:rFonts w:ascii="David" w:cs="David" w:eastAsia="David" w:hAnsi="David"/>
          <w:sz w:val="22"/>
          <w:szCs w:val="22"/>
          <w:rtl/>
        </w:rPr>
        <w:t xml:space="preserve">בדיקות עיניים תקופתיות בקבוצות סיכון (גיל מבוגר, היסטוריה משפחתית, מוצא אפריקאי), חינוך שהמחלה כרונית ודורשת טיפול קבוע לכל החיים למניעת התקדמות.</w:t>
      </w:r>
    </w:p>
    <w:p>
      <w:pPr>
        <w:bidi/>
        <w:spacing w:after="140"/>
        <w:jc w:val="right"/>
      </w:pPr>
      <w:r>
        <w:rPr>
          <w:rFonts w:ascii="David" w:cs="David" w:eastAsia="David" w:hAnsi="David"/>
          <w:b/>
          <w:bCs/>
          <w:sz w:val="22"/>
          <w:szCs w:val="22"/>
          <w:rtl/>
        </w:rPr>
        <w:t xml:space="preserve">10. תוצאות מצופות </w:t>
      </w:r>
      <w:r>
        <w:rPr>
          <w:rFonts w:ascii="David" w:cs="David" w:eastAsia="David" w:hAnsi="David"/>
          <w:sz w:val="22"/>
          <w:szCs w:val="22"/>
          <w:rtl/>
        </w:rPr>
        <w:t xml:space="preserve">שמירה על לחץ תוך-עיני יעד, עצירת/האטת התקדמות אובדן שדה הראייה, שימור ראייה קיימת (לא ניתן להחזיר ראייה שאבדה).</w:t>
      </w:r>
    </w:p>
    <w:p>
      <w:pPr>
        <w:pStyle w:val="Heading3"/>
        <w:bidi/>
        <w:spacing w:after="100" w:before="200"/>
        <w:jc w:val="right"/>
      </w:pPr>
      <w:r>
        <w:rPr>
          <w:rFonts w:ascii="David" w:cs="David" w:eastAsia="David" w:hAnsi="David"/>
          <w:b/>
          <w:bCs/>
          <w:color w:val="1F4E79"/>
          <w:sz w:val="24"/>
          <w:szCs w:val="24"/>
          <w:rtl/>
        </w:rPr>
        <w:t xml:space="preserve">רמה 2 — ביניים</w:t>
      </w:r>
    </w:p>
    <w:p>
      <w:pPr>
        <w:bidi/>
        <w:spacing w:after="140"/>
        <w:jc w:val="right"/>
      </w:pPr>
      <w:r>
        <w:rPr>
          <w:rFonts w:ascii="David" w:cs="David" w:eastAsia="David" w:hAnsi="David"/>
          <w:b/>
          <w:bCs/>
          <w:sz w:val="22"/>
          <w:szCs w:val="22"/>
          <w:rtl/>
        </w:rPr>
        <w:t xml:space="preserve">1. הגדרה ואטיולוגיה </w:t>
      </w:r>
      <w:r>
        <w:rPr>
          <w:rFonts w:ascii="David" w:cs="David" w:eastAsia="David" w:hAnsi="David"/>
          <w:sz w:val="22"/>
          <w:szCs w:val="22"/>
          <w:rtl/>
        </w:rPr>
        <w:t xml:space="preserve">קבוצת מחלות עין המאופיינות בפגיעה מתקדמת בעצב הראייה, לרוב (אך לא תמיד) הקשורה בעלייה בלחץ התוך-עיני.</w:t>
      </w:r>
    </w:p>
    <w:p>
      <w:pPr>
        <w:bidi/>
        <w:spacing w:after="140"/>
        <w:jc w:val="right"/>
      </w:pPr>
      <w:r>
        <w:rPr>
          <w:rFonts w:ascii="David" w:cs="David" w:eastAsia="David" w:hAnsi="David"/>
          <w:b/>
          <w:bCs/>
          <w:sz w:val="22"/>
          <w:szCs w:val="22"/>
          <w:rtl/>
        </w:rPr>
        <w:t xml:space="preserve">2. פתופיזיולוגיה </w:t>
      </w:r>
      <w:r>
        <w:rPr>
          <w:rFonts w:ascii="David" w:cs="David" w:eastAsia="David" w:hAnsi="David"/>
          <w:sz w:val="22"/>
          <w:szCs w:val="22"/>
          <w:rtl/>
        </w:rPr>
        <w:t xml:space="preserve">זווית פתוחה: ניקוז לא-יעיל של נוזל תוך-עיני (Aqueous Humor) דרך הרשת הטרבקולרית למרות זווית ניקוז פתוחה מבנית → עלייה הדרגתית בלחץ תוך-עיני → פגיעה מתקדמת בסיבי עצב הראייה.</w:t>
      </w:r>
    </w:p>
    <w:p>
      <w:pPr>
        <w:bidi/>
        <w:spacing w:after="140"/>
        <w:jc w:val="right"/>
      </w:pPr>
      <w:r>
        <w:rPr>
          <w:rFonts w:ascii="David" w:cs="David" w:eastAsia="David" w:hAnsi="David"/>
          <w:b/>
          <w:bCs/>
          <w:sz w:val="22"/>
          <w:szCs w:val="22"/>
          <w:rtl/>
        </w:rPr>
        <w:t xml:space="preserve">3. מערכות מעורבות </w:t>
      </w:r>
      <w:r>
        <w:rPr>
          <w:rFonts w:ascii="David" w:cs="David" w:eastAsia="David" w:hAnsi="David"/>
          <w:sz w:val="22"/>
          <w:szCs w:val="22"/>
          <w:rtl/>
        </w:rPr>
        <w:t xml:space="preserve">עינית — עצב הראייה, שדה הראייה.</w:t>
      </w:r>
    </w:p>
    <w:p>
      <w:pPr>
        <w:bidi/>
        <w:spacing w:after="140"/>
        <w:jc w:val="right"/>
      </w:pPr>
      <w:r>
        <w:rPr>
          <w:rFonts w:ascii="David" w:cs="David" w:eastAsia="David" w:hAnsi="David"/>
          <w:b/>
          <w:bCs/>
          <w:sz w:val="22"/>
          <w:szCs w:val="22"/>
          <w:rtl/>
        </w:rPr>
        <w:t xml:space="preserve">4. ביטויים קליניים </w:t>
      </w:r>
      <w:r>
        <w:rPr>
          <w:rFonts w:ascii="David" w:cs="David" w:eastAsia="David" w:hAnsi="David"/>
          <w:sz w:val="22"/>
          <w:szCs w:val="22"/>
          <w:rtl/>
        </w:rPr>
        <w:t xml:space="preserve">זווית פתוחה: א-סימפטומטית ברוב המקרים עד לשלב מתקדם — אובדן הדרגתי של שדה הראייה ההיקפי ('ראיית מנהרה' בשלב מתקדם), ללא כאב.</w:t>
      </w:r>
    </w:p>
    <w:p>
      <w:pPr>
        <w:bidi/>
        <w:spacing w:after="140"/>
        <w:jc w:val="right"/>
      </w:pPr>
      <w:r>
        <w:rPr>
          <w:rFonts w:ascii="David" w:cs="David" w:eastAsia="David" w:hAnsi="David"/>
          <w:b/>
          <w:bCs/>
          <w:sz w:val="22"/>
          <w:szCs w:val="22"/>
          <w:rtl/>
        </w:rPr>
        <w:t xml:space="preserve">5. הערכה ואבחון </w:t>
      </w:r>
      <w:r>
        <w:rPr>
          <w:rFonts w:ascii="David" w:cs="David" w:eastAsia="David" w:hAnsi="David"/>
          <w:sz w:val="22"/>
          <w:szCs w:val="22"/>
          <w:rtl/>
        </w:rPr>
        <w:t xml:space="preserve">טונומטריה — מדידת לחץ תוך-עיני (תקין 10-21 מ"מ כספית);</w:t>
      </w:r>
    </w:p>
    <w:p>
      <w:pPr>
        <w:bidi/>
        <w:spacing w:after="140"/>
        <w:jc w:val="right"/>
      </w:pPr>
      <w:r>
        <w:rPr>
          <w:rFonts w:ascii="David" w:cs="David" w:eastAsia="David" w:hAnsi="David"/>
          <w:b/>
          <w:bCs/>
          <w:sz w:val="22"/>
          <w:szCs w:val="22"/>
          <w:rtl/>
        </w:rPr>
        <w:t xml:space="preserve">6. סיבוכים </w:t>
      </w:r>
      <w:r>
        <w:rPr>
          <w:rFonts w:ascii="David" w:cs="David" w:eastAsia="David" w:hAnsi="David"/>
          <w:sz w:val="22"/>
          <w:szCs w:val="22"/>
          <w:rtl/>
        </w:rPr>
        <w:t xml:space="preserve">אובדן ראייה בלתי הפיך ועיוורון אם לא מטופלת (הנזק לעצב הראייה קבוע ואינו הפיך — לכן אבחון וטיפול מוקדמים קריטיים);</w:t>
      </w:r>
    </w:p>
    <w:p>
      <w:pPr>
        <w:bidi/>
        <w:spacing w:after="140"/>
        <w:jc w:val="right"/>
      </w:pPr>
      <w:r>
        <w:rPr>
          <w:rFonts w:ascii="David" w:cs="David" w:eastAsia="David" w:hAnsi="David"/>
          <w:b/>
          <w:bCs/>
          <w:sz w:val="22"/>
          <w:szCs w:val="22"/>
          <w:rtl/>
        </w:rPr>
        <w:t xml:space="preserve">7. טיפול רפואי </w:t>
      </w:r>
      <w:r>
        <w:rPr>
          <w:rFonts w:ascii="David" w:cs="David" w:eastAsia="David" w:hAnsi="David"/>
          <w:sz w:val="22"/>
          <w:szCs w:val="22"/>
          <w:rtl/>
        </w:rPr>
        <w:t xml:space="preserve">טיפות עיניים להורדת לחץ תוך-עיני (אנלוגים לפרוסטגלנדין כקו ראשון, חוסמי בטא, מעכבי קרבוניק-אנהידראז);</w:t>
      </w:r>
    </w:p>
    <w:p>
      <w:pPr>
        <w:bidi/>
        <w:spacing w:after="140"/>
        <w:jc w:val="right"/>
      </w:pPr>
      <w:r>
        <w:rPr>
          <w:rFonts w:ascii="David" w:cs="David" w:eastAsia="David" w:hAnsi="David"/>
          <w:b/>
          <w:bCs/>
          <w:sz w:val="22"/>
          <w:szCs w:val="22"/>
          <w:rtl/>
        </w:rPr>
        <w:t xml:space="preserve">8. תהליך סיעודי </w:t>
      </w:r>
      <w:r>
        <w:rPr>
          <w:rFonts w:ascii="David" w:cs="David" w:eastAsia="David" w:hAnsi="David"/>
          <w:sz w:val="22"/>
          <w:szCs w:val="22"/>
          <w:rtl/>
        </w:rPr>
        <w:t xml:space="preserve">חינוך קפדני להיענות לטיפות עיניים יומיומיות (הפסקת טיפול עלולה לגרום לנזק בלתי הפיך גם ללא תסמינים מוחשים), הדרכה לטכניקת החדרת טיפות נכונה (לחיצה על נקודת הדמעה למניעת ספיגה סיסטמית), זיהוי דחוף של תסמיני גלאוקומה בזווית סגורה חריפה כחירום רפואי.</w:t>
      </w:r>
    </w:p>
    <w:p>
      <w:pPr>
        <w:bidi/>
        <w:spacing w:after="140"/>
        <w:jc w:val="right"/>
      </w:pPr>
      <w:r>
        <w:rPr>
          <w:rFonts w:ascii="David" w:cs="David" w:eastAsia="David" w:hAnsi="David"/>
          <w:b/>
          <w:bCs/>
          <w:sz w:val="22"/>
          <w:szCs w:val="22"/>
          <w:rtl/>
        </w:rPr>
        <w:t xml:space="preserve">9. תזונה/אורח חיים/חינוך </w:t>
      </w:r>
      <w:r>
        <w:rPr>
          <w:rFonts w:ascii="David" w:cs="David" w:eastAsia="David" w:hAnsi="David"/>
          <w:sz w:val="22"/>
          <w:szCs w:val="22"/>
          <w:rtl/>
        </w:rPr>
        <w:t xml:space="preserve">בדיקות עיניים תקופתיות בקבוצות סיכון (גיל מבוגר, היסטוריה משפחתית, מוצא אפריקאי), חינוך שהמחלה כרונית ודורשת טיפול קבוע לכל החיים למניעת התקדמות.</w:t>
      </w:r>
    </w:p>
    <w:p>
      <w:pPr>
        <w:bidi/>
        <w:spacing w:after="140"/>
        <w:jc w:val="right"/>
      </w:pPr>
      <w:r>
        <w:rPr>
          <w:rFonts w:ascii="David" w:cs="David" w:eastAsia="David" w:hAnsi="David"/>
          <w:b/>
          <w:bCs/>
          <w:sz w:val="22"/>
          <w:szCs w:val="22"/>
          <w:rtl/>
        </w:rPr>
        <w:t xml:space="preserve">10. תוצאות מצופות </w:t>
      </w:r>
      <w:r>
        <w:rPr>
          <w:rFonts w:ascii="David" w:cs="David" w:eastAsia="David" w:hAnsi="David"/>
          <w:sz w:val="22"/>
          <w:szCs w:val="22"/>
          <w:rtl/>
        </w:rPr>
        <w:t xml:space="preserve">שמירה על לחץ תוך-עיני יעד, עצירת/האטת התקדמות אובדן שדה הראייה, שימור ראייה קיימת (לא ניתן להחזיר ראייה שאבדה).</w:t>
      </w:r>
    </w:p>
    <w:p>
      <w:r>
        <w:br w:type="page"/>
      </w:r>
    </w:p>
    <w:p>
      <w:pPr>
        <w:pStyle w:val="Heading1"/>
        <w:bidi/>
        <w:jc w:val="right"/>
      </w:pPr>
      <w:r>
        <w:rPr>
          <w:rFonts w:ascii="David" w:cs="David" w:eastAsia="David" w:hAnsi="David"/>
          <w:rtl/>
        </w:rPr>
        <w:t xml:space="preserve">קטרקט (Cataract)</w:t>
      </w:r>
    </w:p>
    <w:p>
      <w:pPr>
        <w:pStyle w:val="Heading3"/>
        <w:bidi/>
        <w:spacing w:after="100" w:before="200"/>
        <w:jc w:val="right"/>
      </w:pPr>
      <w:r>
        <w:rPr>
          <w:rFonts w:ascii="David" w:cs="David" w:eastAsia="David" w:hAnsi="David"/>
          <w:b/>
          <w:bCs/>
          <w:color w:val="1F4E79"/>
          <w:sz w:val="24"/>
          <w:szCs w:val="24"/>
          <w:rtl/>
        </w:rPr>
        <w:t xml:space="preserve">רמה 1 — מלא</w:t>
      </w:r>
    </w:p>
    <w:p>
      <w:pPr>
        <w:bidi/>
        <w:spacing w:after="140"/>
        <w:jc w:val="right"/>
      </w:pPr>
      <w:r>
        <w:rPr>
          <w:rFonts w:ascii="David" w:cs="David" w:eastAsia="David" w:hAnsi="David"/>
          <w:b/>
          <w:bCs/>
          <w:sz w:val="22"/>
          <w:szCs w:val="22"/>
          <w:rtl/>
        </w:rPr>
        <w:t xml:space="preserve">1. הגדרה ואטיולוגיה </w:t>
      </w:r>
      <w:r>
        <w:rPr>
          <w:rFonts w:ascii="David" w:cs="David" w:eastAsia="David" w:hAnsi="David"/>
          <w:sz w:val="22"/>
          <w:szCs w:val="22"/>
          <w:rtl/>
        </w:rPr>
        <w:t xml:space="preserve">עכירות מתקדמת של עדשת העין, הגורם השכיח ביותר לירידה בראייה הניתנת לתיקון בגיל מבוגר. גורמים: תהליך ניווני-גילי (השכיח ביותר), סוכרת, שימוש ממושך בקורטיקוסטרואידים, חשיפה מצטברת לקרינת UV, טראומה.</w:t>
      </w:r>
    </w:p>
    <w:p>
      <w:pPr>
        <w:bidi/>
        <w:spacing w:after="140"/>
        <w:jc w:val="right"/>
      </w:pPr>
      <w:r>
        <w:rPr>
          <w:rFonts w:ascii="David" w:cs="David" w:eastAsia="David" w:hAnsi="David"/>
          <w:b/>
          <w:bCs/>
          <w:sz w:val="22"/>
          <w:szCs w:val="22"/>
          <w:rtl/>
        </w:rPr>
        <w:t xml:space="preserve">2. פתופיזיולוגיה </w:t>
      </w:r>
      <w:r>
        <w:rPr>
          <w:rFonts w:ascii="David" w:cs="David" w:eastAsia="David" w:hAnsi="David"/>
          <w:sz w:val="22"/>
          <w:szCs w:val="22"/>
          <w:rtl/>
        </w:rPr>
        <w:t xml:space="preserve">שינויים חמצוניים וצבירת חלבונים לא-תקינים בסיבי העדשה לאורך זמן → אובדן שקיפות העדשה → פיזור אור לא-תקין ברשתית.</w:t>
      </w:r>
    </w:p>
    <w:p>
      <w:pPr>
        <w:bidi/>
        <w:spacing w:after="140"/>
        <w:jc w:val="right"/>
      </w:pPr>
      <w:r>
        <w:rPr>
          <w:rFonts w:ascii="David" w:cs="David" w:eastAsia="David" w:hAnsi="David"/>
          <w:b/>
          <w:bCs/>
          <w:sz w:val="22"/>
          <w:szCs w:val="22"/>
          <w:rtl/>
        </w:rPr>
        <w:t xml:space="preserve">3. מערכות מעורבות </w:t>
      </w:r>
      <w:r>
        <w:rPr>
          <w:rFonts w:ascii="David" w:cs="David" w:eastAsia="David" w:hAnsi="David"/>
          <w:sz w:val="22"/>
          <w:szCs w:val="22"/>
          <w:rtl/>
        </w:rPr>
        <w:t xml:space="preserve">עינית — עדשת העין.</w:t>
      </w:r>
    </w:p>
    <w:p>
      <w:pPr>
        <w:bidi/>
        <w:spacing w:after="140"/>
        <w:jc w:val="right"/>
      </w:pPr>
      <w:r>
        <w:rPr>
          <w:rFonts w:ascii="David" w:cs="David" w:eastAsia="David" w:hAnsi="David"/>
          <w:b/>
          <w:bCs/>
          <w:sz w:val="22"/>
          <w:szCs w:val="22"/>
          <w:rtl/>
        </w:rPr>
        <w:t xml:space="preserve">4. ביטויים קליניים </w:t>
      </w:r>
      <w:r>
        <w:rPr>
          <w:rFonts w:ascii="David" w:cs="David" w:eastAsia="David" w:hAnsi="David"/>
          <w:sz w:val="22"/>
          <w:szCs w:val="22"/>
          <w:rtl/>
        </w:rPr>
        <w:t xml:space="preserve">טשטוש ראייה הדרגתי ובלתי-כואב, ראיית הילות סביב אורות, רגישות מוגברת לסנוור, דהיית צבעים, קושי בראיית לילה, ירידה הדרגתית בחדות הראייה המשפיעה על תפקוד יומיומי (נהיגה, קריאה).</w:t>
      </w:r>
    </w:p>
    <w:p>
      <w:pPr>
        <w:bidi/>
        <w:spacing w:after="140"/>
        <w:jc w:val="right"/>
      </w:pPr>
      <w:r>
        <w:rPr>
          <w:rFonts w:ascii="David" w:cs="David" w:eastAsia="David" w:hAnsi="David"/>
          <w:b/>
          <w:bCs/>
          <w:sz w:val="22"/>
          <w:szCs w:val="22"/>
          <w:rtl/>
        </w:rPr>
        <w:t xml:space="preserve">5. הערכה ואבחון </w:t>
      </w:r>
      <w:r>
        <w:rPr>
          <w:rFonts w:ascii="David" w:cs="David" w:eastAsia="David" w:hAnsi="David"/>
          <w:sz w:val="22"/>
          <w:szCs w:val="22"/>
          <w:rtl/>
        </w:rPr>
        <w:t xml:space="preserve">בדיקת חדות ראייה (Snellen), בדיקת מנורת סדק (Slit-lamp) להדגמת העכירות בעדשה, בדיקת קרקעית העין להערכת בריאות הרשתית לפני ניתוח.</w:t>
      </w:r>
    </w:p>
    <w:p>
      <w:pPr>
        <w:bidi/>
        <w:spacing w:after="140"/>
        <w:jc w:val="right"/>
      </w:pPr>
      <w:r>
        <w:rPr>
          <w:rFonts w:ascii="David" w:cs="David" w:eastAsia="David" w:hAnsi="David"/>
          <w:b/>
          <w:bCs/>
          <w:sz w:val="22"/>
          <w:szCs w:val="22"/>
          <w:rtl/>
        </w:rPr>
        <w:t xml:space="preserve">6. סיבוכים </w:t>
      </w:r>
      <w:r>
        <w:rPr>
          <w:rFonts w:ascii="David" w:cs="David" w:eastAsia="David" w:hAnsi="David"/>
          <w:sz w:val="22"/>
          <w:szCs w:val="22"/>
          <w:rtl/>
        </w:rPr>
        <w:t xml:space="preserve">ירידה משמעותית בראייה עם השפעה על עצמאות ובטיחות (נפילות, תאונות דרכים); סיבוכי ניתוח (נדירים) — זיהום, בצקת רשתית, היפרדות רשתית.</w:t>
      </w:r>
    </w:p>
    <w:p>
      <w:pPr>
        <w:bidi/>
        <w:spacing w:after="140"/>
        <w:jc w:val="right"/>
      </w:pPr>
      <w:r>
        <w:rPr>
          <w:rFonts w:ascii="David" w:cs="David" w:eastAsia="David" w:hAnsi="David"/>
          <w:b/>
          <w:bCs/>
          <w:sz w:val="22"/>
          <w:szCs w:val="22"/>
          <w:rtl/>
        </w:rPr>
        <w:t xml:space="preserve">7. טיפול רפואי </w:t>
      </w:r>
      <w:r>
        <w:rPr>
          <w:rFonts w:ascii="David" w:cs="David" w:eastAsia="David" w:hAnsi="David"/>
          <w:sz w:val="22"/>
          <w:szCs w:val="22"/>
          <w:rtl/>
        </w:rPr>
        <w:t xml:space="preserve">הטיפול היחיד היעיל הוא ניתוח — הסרת העדשה העכורה והחלפתה בעדשה תוך-עינית מלאכותית (IOL); ניתוח יום קצר עם החלמה מהירה יחסית; אין טיפול תרופתי מוכח לעצירת התקדמות הקטרקט.</w:t>
      </w:r>
    </w:p>
    <w:p>
      <w:pPr>
        <w:bidi/>
        <w:spacing w:after="140"/>
        <w:jc w:val="right"/>
      </w:pPr>
      <w:r>
        <w:rPr>
          <w:rFonts w:ascii="David" w:cs="David" w:eastAsia="David" w:hAnsi="David"/>
          <w:b/>
          <w:bCs/>
          <w:sz w:val="22"/>
          <w:szCs w:val="22"/>
          <w:rtl/>
        </w:rPr>
        <w:t xml:space="preserve">8. תהליך סיעודי </w:t>
      </w:r>
      <w:r>
        <w:rPr>
          <w:rFonts w:ascii="David" w:cs="David" w:eastAsia="David" w:hAnsi="David"/>
          <w:sz w:val="22"/>
          <w:szCs w:val="22"/>
          <w:rtl/>
        </w:rPr>
        <w:t xml:space="preserve">חינוך טרום-ניתוחי (הליך קצר, הרדמה מקומית לרוב), חינוך פוסט-ניתוחי — טיפות עיניים (אנטיביוטיקה/סטרואיד), הימנעות מהרמת משאות כבדים/כפיפה עמוקה/שפשוף העין בתקופת ההחלמה, זיהוי סימני אזהרה (כאב פתאומי, ירידה בראייה, הפרשה) לדיווח מיידי.</w:t>
      </w:r>
    </w:p>
    <w:p>
      <w:pPr>
        <w:bidi/>
        <w:spacing w:after="140"/>
        <w:jc w:val="right"/>
      </w:pPr>
      <w:r>
        <w:rPr>
          <w:rFonts w:ascii="David" w:cs="David" w:eastAsia="David" w:hAnsi="David"/>
          <w:b/>
          <w:bCs/>
          <w:sz w:val="22"/>
          <w:szCs w:val="22"/>
          <w:rtl/>
        </w:rPr>
        <w:t xml:space="preserve">9-10. חינוך ותוצאות מצופות </w:t>
      </w:r>
      <w:r>
        <w:rPr>
          <w:rFonts w:ascii="David" w:cs="David" w:eastAsia="David" w:hAnsi="David"/>
          <w:sz w:val="22"/>
          <w:szCs w:val="22"/>
          <w:rtl/>
        </w:rPr>
        <w:t xml:space="preserve">עידוד הגנה מקרינת UV (משקפי שמש) להאטת התקדמות; מטרה — שיקום חדות ראייה, חזרה לפעילות יומיומית ועצמאות.</w:t>
      </w:r>
    </w:p>
    <w:p>
      <w:pPr>
        <w:pStyle w:val="Heading3"/>
        <w:bidi/>
        <w:spacing w:after="100" w:before="200"/>
        <w:jc w:val="right"/>
      </w:pPr>
      <w:r>
        <w:rPr>
          <w:rFonts w:ascii="David" w:cs="David" w:eastAsia="David" w:hAnsi="David"/>
          <w:b/>
          <w:bCs/>
          <w:color w:val="1F4E79"/>
          <w:sz w:val="24"/>
          <w:szCs w:val="24"/>
          <w:rtl/>
        </w:rPr>
        <w:t xml:space="preserve">רמה 2 — ביניים</w:t>
      </w:r>
    </w:p>
    <w:p>
      <w:pPr>
        <w:bidi/>
        <w:spacing w:after="140"/>
        <w:jc w:val="right"/>
      </w:pPr>
      <w:r>
        <w:rPr>
          <w:rFonts w:ascii="David" w:cs="David" w:eastAsia="David" w:hAnsi="David"/>
          <w:b/>
          <w:bCs/>
          <w:sz w:val="22"/>
          <w:szCs w:val="22"/>
          <w:rtl/>
        </w:rPr>
        <w:t xml:space="preserve">1. הגדרה ואטיולוגיה </w:t>
      </w:r>
      <w:r>
        <w:rPr>
          <w:rFonts w:ascii="David" w:cs="David" w:eastAsia="David" w:hAnsi="David"/>
          <w:sz w:val="22"/>
          <w:szCs w:val="22"/>
          <w:rtl/>
        </w:rPr>
        <w:t xml:space="preserve">עכירות מתקדמת של עדשת העין, הגורם השכיח ביותר לירידה בראייה הניתנת לתיקון בגיל מבוגר.</w:t>
      </w:r>
    </w:p>
    <w:p>
      <w:pPr>
        <w:bidi/>
        <w:spacing w:after="140"/>
        <w:jc w:val="right"/>
      </w:pPr>
      <w:r>
        <w:rPr>
          <w:rFonts w:ascii="David" w:cs="David" w:eastAsia="David" w:hAnsi="David"/>
          <w:b/>
          <w:bCs/>
          <w:sz w:val="22"/>
          <w:szCs w:val="22"/>
          <w:rtl/>
        </w:rPr>
        <w:t xml:space="preserve">2. פתופיזיולוגיה </w:t>
      </w:r>
      <w:r>
        <w:rPr>
          <w:rFonts w:ascii="David" w:cs="David" w:eastAsia="David" w:hAnsi="David"/>
          <w:sz w:val="22"/>
          <w:szCs w:val="22"/>
          <w:rtl/>
        </w:rPr>
        <w:t xml:space="preserve">שינויים חמצוניים וצבירת חלבונים לא-תקינים בסיבי העדשה לאורך זמן → אובדן שקיפות העדשה → פיזור אור לא-תקין ברשתית.</w:t>
      </w:r>
    </w:p>
    <w:p>
      <w:pPr>
        <w:bidi/>
        <w:spacing w:after="140"/>
        <w:jc w:val="right"/>
      </w:pPr>
      <w:r>
        <w:rPr>
          <w:rFonts w:ascii="David" w:cs="David" w:eastAsia="David" w:hAnsi="David"/>
          <w:b/>
          <w:bCs/>
          <w:sz w:val="22"/>
          <w:szCs w:val="22"/>
          <w:rtl/>
        </w:rPr>
        <w:t xml:space="preserve">3. מערכות מעורבות </w:t>
      </w:r>
      <w:r>
        <w:rPr>
          <w:rFonts w:ascii="David" w:cs="David" w:eastAsia="David" w:hAnsi="David"/>
          <w:sz w:val="22"/>
          <w:szCs w:val="22"/>
          <w:rtl/>
        </w:rPr>
        <w:t xml:space="preserve">עינית — עדשת העין.</w:t>
      </w:r>
    </w:p>
    <w:p>
      <w:pPr>
        <w:bidi/>
        <w:spacing w:after="140"/>
        <w:jc w:val="right"/>
      </w:pPr>
      <w:r>
        <w:rPr>
          <w:rFonts w:ascii="David" w:cs="David" w:eastAsia="David" w:hAnsi="David"/>
          <w:b/>
          <w:bCs/>
          <w:sz w:val="22"/>
          <w:szCs w:val="22"/>
          <w:rtl/>
        </w:rPr>
        <w:t xml:space="preserve">4. ביטויים קליניים </w:t>
      </w:r>
      <w:r>
        <w:rPr>
          <w:rFonts w:ascii="David" w:cs="David" w:eastAsia="David" w:hAnsi="David"/>
          <w:sz w:val="22"/>
          <w:szCs w:val="22"/>
          <w:rtl/>
        </w:rPr>
        <w:t xml:space="preserve">טשטוש ראייה הדרגתי ובלתי-כואב, ראיית הילות סביב אורות, רגישות מוגברת לסנוור, דהיית צבעים, קושי בראיית לילה, ירידה הדרגתית בחדות הראייה המשפיעה על תפקוד יומיומי (נהיגה, קריאה).</w:t>
      </w:r>
    </w:p>
    <w:p>
      <w:pPr>
        <w:bidi/>
        <w:spacing w:after="140"/>
        <w:jc w:val="right"/>
      </w:pPr>
      <w:r>
        <w:rPr>
          <w:rFonts w:ascii="David" w:cs="David" w:eastAsia="David" w:hAnsi="David"/>
          <w:b/>
          <w:bCs/>
          <w:sz w:val="22"/>
          <w:szCs w:val="22"/>
          <w:rtl/>
        </w:rPr>
        <w:t xml:space="preserve">5. הערכה ואבחון </w:t>
      </w:r>
      <w:r>
        <w:rPr>
          <w:rFonts w:ascii="David" w:cs="David" w:eastAsia="David" w:hAnsi="David"/>
          <w:sz w:val="22"/>
          <w:szCs w:val="22"/>
          <w:rtl/>
        </w:rPr>
        <w:t xml:space="preserve">בדיקת חדות ראייה (Snellen), בדיקת מנורת סדק (Slit-lamp) להדגמת העכירות בעדשה, בדיקת קרקעית העין להערכת בריאות הרשתית לפני ניתוח.</w:t>
      </w:r>
    </w:p>
    <w:p>
      <w:pPr>
        <w:bidi/>
        <w:spacing w:after="140"/>
        <w:jc w:val="right"/>
      </w:pPr>
      <w:r>
        <w:rPr>
          <w:rFonts w:ascii="David" w:cs="David" w:eastAsia="David" w:hAnsi="David"/>
          <w:b/>
          <w:bCs/>
          <w:sz w:val="22"/>
          <w:szCs w:val="22"/>
          <w:rtl/>
        </w:rPr>
        <w:t xml:space="preserve">6. סיבוכים </w:t>
      </w:r>
      <w:r>
        <w:rPr>
          <w:rFonts w:ascii="David" w:cs="David" w:eastAsia="David" w:hAnsi="David"/>
          <w:sz w:val="22"/>
          <w:szCs w:val="22"/>
          <w:rtl/>
        </w:rPr>
        <w:t xml:space="preserve">ירידה משמעותית בראייה עם השפעה על עצמאות ובטיחות (נפילות, תאונות דרכים);</w:t>
      </w:r>
    </w:p>
    <w:p>
      <w:pPr>
        <w:bidi/>
        <w:spacing w:after="140"/>
        <w:jc w:val="right"/>
      </w:pPr>
      <w:r>
        <w:rPr>
          <w:rFonts w:ascii="David" w:cs="David" w:eastAsia="David" w:hAnsi="David"/>
          <w:b/>
          <w:bCs/>
          <w:sz w:val="22"/>
          <w:szCs w:val="22"/>
          <w:rtl/>
        </w:rPr>
        <w:t xml:space="preserve">7. טיפול רפואי </w:t>
      </w:r>
      <w:r>
        <w:rPr>
          <w:rFonts w:ascii="David" w:cs="David" w:eastAsia="David" w:hAnsi="David"/>
          <w:sz w:val="22"/>
          <w:szCs w:val="22"/>
          <w:rtl/>
        </w:rPr>
        <w:t xml:space="preserve">הטיפול היחיד היעיל הוא ניתוח — הסרת העדשה העכורה והחלפתה בעדשה תוך-עינית מלאכותית (IOL);</w:t>
      </w:r>
    </w:p>
    <w:p>
      <w:pPr>
        <w:bidi/>
        <w:spacing w:after="140"/>
        <w:jc w:val="right"/>
      </w:pPr>
      <w:r>
        <w:rPr>
          <w:rFonts w:ascii="David" w:cs="David" w:eastAsia="David" w:hAnsi="David"/>
          <w:b/>
          <w:bCs/>
          <w:sz w:val="22"/>
          <w:szCs w:val="22"/>
          <w:rtl/>
        </w:rPr>
        <w:t xml:space="preserve">8. תהליך סיעודי </w:t>
      </w:r>
      <w:r>
        <w:rPr>
          <w:rFonts w:ascii="David" w:cs="David" w:eastAsia="David" w:hAnsi="David"/>
          <w:sz w:val="22"/>
          <w:szCs w:val="22"/>
          <w:rtl/>
        </w:rPr>
        <w:t xml:space="preserve">חינוך טרום-ניתוחי (הליך קצר, הרדמה מקומית לרוב), חינוך פוסט-ניתוחי — טיפות עיניים (אנטיביוטיקה/סטרואיד), הימנעות מהרמת משאות כבדים/כפיפה עמוקה/שפשוף העין בתקופת ההחלמה, זיהוי סימני אזהרה (כאב פתאומי, ירידה בראייה, הפרשה) לדיווח מיידי.</w:t>
      </w:r>
    </w:p>
    <w:p>
      <w:pPr>
        <w:bidi/>
        <w:spacing w:after="140"/>
        <w:jc w:val="right"/>
      </w:pPr>
      <w:r>
        <w:rPr>
          <w:rFonts w:ascii="David" w:cs="David" w:eastAsia="David" w:hAnsi="David"/>
          <w:b/>
          <w:bCs/>
          <w:sz w:val="22"/>
          <w:szCs w:val="22"/>
          <w:rtl/>
        </w:rPr>
        <w:t xml:space="preserve">9-10. חינוך ותוצאות מצופות </w:t>
      </w:r>
      <w:r>
        <w:rPr>
          <w:rFonts w:ascii="David" w:cs="David" w:eastAsia="David" w:hAnsi="David"/>
          <w:sz w:val="22"/>
          <w:szCs w:val="22"/>
          <w:rtl/>
        </w:rPr>
        <w:t xml:space="preserve">עידוד הגנה מקרינת UV (משקפי שמש) להאטת התקדמות;</w:t>
      </w:r>
    </w:p>
    <w:p>
      <w:r>
        <w:br w:type="page"/>
      </w:r>
    </w:p>
    <w:p>
      <w:pPr>
        <w:pStyle w:val="Heading1"/>
        <w:bidi/>
        <w:jc w:val="right"/>
      </w:pPr>
      <w:r>
        <w:rPr>
          <w:rFonts w:ascii="David" w:cs="David" w:eastAsia="David" w:hAnsi="David"/>
          <w:rtl/>
        </w:rPr>
        <w:t xml:space="preserve">ניוון מקולרי הקשור לגיל (AMD)</w:t>
      </w:r>
    </w:p>
    <w:p>
      <w:pPr>
        <w:pStyle w:val="Heading3"/>
        <w:bidi/>
        <w:spacing w:after="100" w:before="200"/>
        <w:jc w:val="right"/>
      </w:pPr>
      <w:r>
        <w:rPr>
          <w:rFonts w:ascii="David" w:cs="David" w:eastAsia="David" w:hAnsi="David"/>
          <w:b/>
          <w:bCs/>
          <w:color w:val="1F4E79"/>
          <w:sz w:val="24"/>
          <w:szCs w:val="24"/>
          <w:rtl/>
        </w:rPr>
        <w:t xml:space="preserve">רמה 1 — מלא</w:t>
      </w:r>
    </w:p>
    <w:p>
      <w:pPr>
        <w:bidi/>
        <w:spacing w:after="140"/>
        <w:jc w:val="right"/>
      </w:pPr>
      <w:r>
        <w:rPr>
          <w:rFonts w:ascii="David" w:cs="David" w:eastAsia="David" w:hAnsi="David"/>
          <w:b/>
          <w:bCs/>
          <w:sz w:val="22"/>
          <w:szCs w:val="22"/>
          <w:rtl/>
        </w:rPr>
        <w:t xml:space="preserve">1. הגדרה ואטיולוגיה </w:t>
      </w:r>
      <w:r>
        <w:rPr>
          <w:rFonts w:ascii="David" w:cs="David" w:eastAsia="David" w:hAnsi="David"/>
          <w:sz w:val="22"/>
          <w:szCs w:val="22"/>
          <w:rtl/>
        </w:rPr>
        <w:t xml:space="preserve">מחלה ניוונית של המקולה (מרכז הרשתית האחראי על ראיית פרטים חדה), הגורם המוביל לעיוורון בלתי-הפיך במבוגרים בעולם המערבי. מסווגת ליבשה (Dry — שכיחה יותר, איטית) ורטובה (Wet — פחות שכיחה, מהירה ואגרסיבית יותר). גורמי סיכון: גיל, עישון, תורשה, חשיפה ל-UV.</w:t>
      </w:r>
    </w:p>
    <w:p>
      <w:pPr>
        <w:bidi/>
        <w:spacing w:after="140"/>
        <w:jc w:val="right"/>
      </w:pPr>
      <w:r>
        <w:rPr>
          <w:rFonts w:ascii="David" w:cs="David" w:eastAsia="David" w:hAnsi="David"/>
          <w:b/>
          <w:bCs/>
          <w:sz w:val="22"/>
          <w:szCs w:val="22"/>
          <w:rtl/>
        </w:rPr>
        <w:t xml:space="preserve">2. פתופיזיולוגיה </w:t>
      </w:r>
      <w:r>
        <w:rPr>
          <w:rFonts w:ascii="David" w:cs="David" w:eastAsia="David" w:hAnsi="David"/>
          <w:sz w:val="22"/>
          <w:szCs w:val="22"/>
          <w:rtl/>
        </w:rPr>
        <w:t xml:space="preserve">AMD יבשה: הצטברות משקעים (Drusen) מתחת לרשתית והידלדלות הדרגתית של שכבת האפיתל הפיגמנטי. AMD רטובה: צמיחת כלי דם לא-תקינים (Neovascularization) מתחת לרשתית, הדולפים דם/נוזל וגורמים לנזק מהיר למקולה.</w:t>
      </w:r>
    </w:p>
    <w:p>
      <w:pPr>
        <w:bidi/>
        <w:spacing w:after="140"/>
        <w:jc w:val="right"/>
      </w:pPr>
      <w:r>
        <w:rPr>
          <w:rFonts w:ascii="David" w:cs="David" w:eastAsia="David" w:hAnsi="David"/>
          <w:b/>
          <w:bCs/>
          <w:sz w:val="22"/>
          <w:szCs w:val="22"/>
          <w:rtl/>
        </w:rPr>
        <w:t xml:space="preserve">3. מערכות מעורבות </w:t>
      </w:r>
      <w:r>
        <w:rPr>
          <w:rFonts w:ascii="David" w:cs="David" w:eastAsia="David" w:hAnsi="David"/>
          <w:sz w:val="22"/>
          <w:szCs w:val="22"/>
          <w:rtl/>
        </w:rPr>
        <w:t xml:space="preserve">עינית — מקולה (ראייה מרכזית); הראייה ההיקפית נשמרת.</w:t>
      </w:r>
    </w:p>
    <w:p>
      <w:pPr>
        <w:bidi/>
        <w:spacing w:after="140"/>
        <w:jc w:val="right"/>
      </w:pPr>
      <w:r>
        <w:rPr>
          <w:rFonts w:ascii="David" w:cs="David" w:eastAsia="David" w:hAnsi="David"/>
          <w:b/>
          <w:bCs/>
          <w:sz w:val="22"/>
          <w:szCs w:val="22"/>
          <w:rtl/>
        </w:rPr>
        <w:t xml:space="preserve">4. ביטויים קליניים </w:t>
      </w:r>
      <w:r>
        <w:rPr>
          <w:rFonts w:ascii="David" w:cs="David" w:eastAsia="David" w:hAnsi="David"/>
          <w:sz w:val="22"/>
          <w:szCs w:val="22"/>
          <w:rtl/>
        </w:rPr>
        <w:t xml:space="preserve">יבשה: ירידה הדרגתית ואיטית בראייה המרכזית, קושי בקריאה/זיהוי פנים. רטובה: עיוות פתאומי של קווים ישרים (Metamorphopsia — ניתן להדגים ברשת Amsler), נקודה עיוורת מרכזית מתפתחת במהירות.</w:t>
      </w:r>
    </w:p>
    <w:p>
      <w:pPr>
        <w:bidi/>
        <w:spacing w:after="140"/>
        <w:jc w:val="right"/>
      </w:pPr>
      <w:r>
        <w:rPr>
          <w:rFonts w:ascii="David" w:cs="David" w:eastAsia="David" w:hAnsi="David"/>
          <w:b/>
          <w:bCs/>
          <w:sz w:val="22"/>
          <w:szCs w:val="22"/>
          <w:rtl/>
        </w:rPr>
        <w:t xml:space="preserve">5. הערכה ואבחון </w:t>
      </w:r>
      <w:r>
        <w:rPr>
          <w:rFonts w:ascii="David" w:cs="David" w:eastAsia="David" w:hAnsi="David"/>
          <w:sz w:val="22"/>
          <w:szCs w:val="22"/>
          <w:rtl/>
        </w:rPr>
        <w:t xml:space="preserve">רשת Amsler לזיהוי עיוות/נקודות עיוורות (כלי ניטור עצמי בבית), OCT (Optical Coherence Tomography) להדמיית שכבות הרשתית, אנגיוגרפיה פלואורסצאין להערכת כלי דם לא-תקינים ב-AMD רטובה.</w:t>
      </w:r>
    </w:p>
    <w:p>
      <w:pPr>
        <w:bidi/>
        <w:spacing w:after="140"/>
        <w:jc w:val="right"/>
      </w:pPr>
      <w:r>
        <w:rPr>
          <w:rFonts w:ascii="David" w:cs="David" w:eastAsia="David" w:hAnsi="David"/>
          <w:b/>
          <w:bCs/>
          <w:sz w:val="22"/>
          <w:szCs w:val="22"/>
          <w:rtl/>
        </w:rPr>
        <w:t xml:space="preserve">6. סיבוכים </w:t>
      </w:r>
      <w:r>
        <w:rPr>
          <w:rFonts w:ascii="David" w:cs="David" w:eastAsia="David" w:hAnsi="David"/>
          <w:sz w:val="22"/>
          <w:szCs w:val="22"/>
          <w:rtl/>
        </w:rPr>
        <w:t xml:space="preserve">אובדן ראייה מרכזית בלתי-הפיך; AMD רטובה ללא טיפול עלולה לגרום לאובדן ראייה חמור תוך שבועות-חודשים.</w:t>
      </w:r>
    </w:p>
    <w:p>
      <w:pPr>
        <w:bidi/>
        <w:spacing w:after="140"/>
        <w:jc w:val="right"/>
      </w:pPr>
      <w:r>
        <w:rPr>
          <w:rFonts w:ascii="David" w:cs="David" w:eastAsia="David" w:hAnsi="David"/>
          <w:b/>
          <w:bCs/>
          <w:sz w:val="22"/>
          <w:szCs w:val="22"/>
          <w:rtl/>
        </w:rPr>
        <w:t xml:space="preserve">7. טיפול רפואי </w:t>
      </w:r>
      <w:r>
        <w:rPr>
          <w:rFonts w:ascii="David" w:cs="David" w:eastAsia="David" w:hAnsi="David"/>
          <w:sz w:val="22"/>
          <w:szCs w:val="22"/>
          <w:rtl/>
        </w:rPr>
        <w:t xml:space="preserve">AMD יבשה: תוספי ויטמינים/נוגדי חמצון (נוסחת AREDS2) עשויים להאט התקדמות בשלבים בינוניים; אין ריפוי. AMD רטובה: זריקות תוך-זגוגיות של תרופות אנטי-VEGF (מעכבות צמיחת כלי דם לא-תקינים) — הטיפול המרכזי, ניתן חוזר לפי פרוטוקול.</w:t>
      </w:r>
    </w:p>
    <w:p>
      <w:pPr>
        <w:bidi/>
        <w:spacing w:after="140"/>
        <w:jc w:val="right"/>
      </w:pPr>
      <w:r>
        <w:rPr>
          <w:rFonts w:ascii="David" w:cs="David" w:eastAsia="David" w:hAnsi="David"/>
          <w:b/>
          <w:bCs/>
          <w:sz w:val="22"/>
          <w:szCs w:val="22"/>
          <w:rtl/>
        </w:rPr>
        <w:t xml:space="preserve">8. תהליך סיעודי </w:t>
      </w:r>
      <w:r>
        <w:rPr>
          <w:rFonts w:ascii="David" w:cs="David" w:eastAsia="David" w:hAnsi="David"/>
          <w:sz w:val="22"/>
          <w:szCs w:val="22"/>
          <w:rtl/>
        </w:rPr>
        <w:t xml:space="preserve">הדרכה לשימוש ברשת Amsler לניטור עצמי יומי, זיהוי מיידי של עיוות/שינוי ראייה חדש כדחיפות טיפולית (בעיקר בסיכון ל-AMD רטובה), תמיכה בהסתגלות לירידה בראייה המרכזית (עזרי ראייה מוגדלת).</w:t>
      </w:r>
    </w:p>
    <w:p>
      <w:pPr>
        <w:bidi/>
        <w:spacing w:after="140"/>
        <w:jc w:val="right"/>
      </w:pPr>
      <w:r>
        <w:rPr>
          <w:rFonts w:ascii="David" w:cs="David" w:eastAsia="David" w:hAnsi="David"/>
          <w:b/>
          <w:bCs/>
          <w:sz w:val="22"/>
          <w:szCs w:val="22"/>
          <w:rtl/>
        </w:rPr>
        <w:t xml:space="preserve">9-10. חינוך ותוצאות מצופות </w:t>
      </w:r>
      <w:r>
        <w:rPr>
          <w:rFonts w:ascii="David" w:cs="David" w:eastAsia="David" w:hAnsi="David"/>
          <w:sz w:val="22"/>
          <w:szCs w:val="22"/>
          <w:rtl/>
        </w:rPr>
        <w:t xml:space="preserve">הפסקת עישון (גורם סיכון משמעותי הניתן לשינוי), תזונה עשירה בנוגדי חמצון; מטרה — האטת התקדמות, שימור ראייה מרכזית קיימת ככל האפשר, אבחון מוקדם של מעבר ליבשה-רטובה.</w:t>
      </w:r>
    </w:p>
    <w:p>
      <w:pPr>
        <w:pStyle w:val="Heading3"/>
        <w:bidi/>
        <w:spacing w:after="100" w:before="200"/>
        <w:jc w:val="right"/>
      </w:pPr>
      <w:r>
        <w:rPr>
          <w:rFonts w:ascii="David" w:cs="David" w:eastAsia="David" w:hAnsi="David"/>
          <w:b/>
          <w:bCs/>
          <w:color w:val="1F4E79"/>
          <w:sz w:val="24"/>
          <w:szCs w:val="24"/>
          <w:rtl/>
        </w:rPr>
        <w:t xml:space="preserve">רמה 2 — ביניים</w:t>
      </w:r>
    </w:p>
    <w:p>
      <w:pPr>
        <w:bidi/>
        <w:spacing w:after="140"/>
        <w:jc w:val="right"/>
      </w:pPr>
      <w:r>
        <w:rPr>
          <w:rFonts w:ascii="David" w:cs="David" w:eastAsia="David" w:hAnsi="David"/>
          <w:b/>
          <w:bCs/>
          <w:sz w:val="22"/>
          <w:szCs w:val="22"/>
          <w:rtl/>
        </w:rPr>
        <w:t xml:space="preserve">1. הגדרה ואטיולוגיה </w:t>
      </w:r>
      <w:r>
        <w:rPr>
          <w:rFonts w:ascii="David" w:cs="David" w:eastAsia="David" w:hAnsi="David"/>
          <w:sz w:val="22"/>
          <w:szCs w:val="22"/>
          <w:rtl/>
        </w:rPr>
        <w:t xml:space="preserve">מחלה ניוונית של המקולה (מרכז הרשתית האחראי על ראיית פרטים חדה), הגורם המוביל לעיוורון בלתי-הפיך במבוגרים בעולם המערבי.</w:t>
      </w:r>
    </w:p>
    <w:p>
      <w:pPr>
        <w:bidi/>
        <w:spacing w:after="140"/>
        <w:jc w:val="right"/>
      </w:pPr>
      <w:r>
        <w:rPr>
          <w:rFonts w:ascii="David" w:cs="David" w:eastAsia="David" w:hAnsi="David"/>
          <w:b/>
          <w:bCs/>
          <w:sz w:val="22"/>
          <w:szCs w:val="22"/>
          <w:rtl/>
        </w:rPr>
        <w:t xml:space="preserve">2. פתופיזיולוגיה </w:t>
      </w:r>
      <w:r>
        <w:rPr>
          <w:rFonts w:ascii="David" w:cs="David" w:eastAsia="David" w:hAnsi="David"/>
          <w:sz w:val="22"/>
          <w:szCs w:val="22"/>
          <w:rtl/>
        </w:rPr>
        <w:t xml:space="preserve">AMD יבשה: הצטברות משקעים (Drusen) מתחת לרשתית והידלדלות הדרגתית של שכבת האפיתל הפיגמנטי.</w:t>
      </w:r>
    </w:p>
    <w:p>
      <w:pPr>
        <w:bidi/>
        <w:spacing w:after="140"/>
        <w:jc w:val="right"/>
      </w:pPr>
      <w:r>
        <w:rPr>
          <w:rFonts w:ascii="David" w:cs="David" w:eastAsia="David" w:hAnsi="David"/>
          <w:b/>
          <w:bCs/>
          <w:sz w:val="22"/>
          <w:szCs w:val="22"/>
          <w:rtl/>
        </w:rPr>
        <w:t xml:space="preserve">3. מערכות מעורבות </w:t>
      </w:r>
      <w:r>
        <w:rPr>
          <w:rFonts w:ascii="David" w:cs="David" w:eastAsia="David" w:hAnsi="David"/>
          <w:sz w:val="22"/>
          <w:szCs w:val="22"/>
          <w:rtl/>
        </w:rPr>
        <w:t xml:space="preserve">עינית — מקולה (ראייה מרכזית);</w:t>
      </w:r>
    </w:p>
    <w:p>
      <w:pPr>
        <w:bidi/>
        <w:spacing w:after="140"/>
        <w:jc w:val="right"/>
      </w:pPr>
      <w:r>
        <w:rPr>
          <w:rFonts w:ascii="David" w:cs="David" w:eastAsia="David" w:hAnsi="David"/>
          <w:b/>
          <w:bCs/>
          <w:sz w:val="22"/>
          <w:szCs w:val="22"/>
          <w:rtl/>
        </w:rPr>
        <w:t xml:space="preserve">4. ביטויים קליניים </w:t>
      </w:r>
      <w:r>
        <w:rPr>
          <w:rFonts w:ascii="David" w:cs="David" w:eastAsia="David" w:hAnsi="David"/>
          <w:sz w:val="22"/>
          <w:szCs w:val="22"/>
          <w:rtl/>
        </w:rPr>
        <w:t xml:space="preserve">יבשה: ירידה הדרגתית ואיטית בראייה המרכזית, קושי בקריאה/זיהוי פנים.</w:t>
      </w:r>
    </w:p>
    <w:p>
      <w:pPr>
        <w:bidi/>
        <w:spacing w:after="140"/>
        <w:jc w:val="right"/>
      </w:pPr>
      <w:r>
        <w:rPr>
          <w:rFonts w:ascii="David" w:cs="David" w:eastAsia="David" w:hAnsi="David"/>
          <w:b/>
          <w:bCs/>
          <w:sz w:val="22"/>
          <w:szCs w:val="22"/>
          <w:rtl/>
        </w:rPr>
        <w:t xml:space="preserve">5. הערכה ואבחון </w:t>
      </w:r>
      <w:r>
        <w:rPr>
          <w:rFonts w:ascii="David" w:cs="David" w:eastAsia="David" w:hAnsi="David"/>
          <w:sz w:val="22"/>
          <w:szCs w:val="22"/>
          <w:rtl/>
        </w:rPr>
        <w:t xml:space="preserve">רשת Amsler לזיהוי עיוות/נקודות עיוורות (כלי ניטור עצמי בבית), OCT (Optical Coherence Tomography) להדמיית שכבות הרשתית, אנגיוגרפיה פלואורסצאין להערכת כלי דם לא-תקינים ב-AMD רטובה.</w:t>
      </w:r>
    </w:p>
    <w:p>
      <w:pPr>
        <w:bidi/>
        <w:spacing w:after="140"/>
        <w:jc w:val="right"/>
      </w:pPr>
      <w:r>
        <w:rPr>
          <w:rFonts w:ascii="David" w:cs="David" w:eastAsia="David" w:hAnsi="David"/>
          <w:b/>
          <w:bCs/>
          <w:sz w:val="22"/>
          <w:szCs w:val="22"/>
          <w:rtl/>
        </w:rPr>
        <w:t xml:space="preserve">6. סיבוכים </w:t>
      </w:r>
      <w:r>
        <w:rPr>
          <w:rFonts w:ascii="David" w:cs="David" w:eastAsia="David" w:hAnsi="David"/>
          <w:sz w:val="22"/>
          <w:szCs w:val="22"/>
          <w:rtl/>
        </w:rPr>
        <w:t xml:space="preserve">אובדן ראייה מרכזית בלתי-הפיך;</w:t>
      </w:r>
    </w:p>
    <w:p>
      <w:pPr>
        <w:bidi/>
        <w:spacing w:after="140"/>
        <w:jc w:val="right"/>
      </w:pPr>
      <w:r>
        <w:rPr>
          <w:rFonts w:ascii="David" w:cs="David" w:eastAsia="David" w:hAnsi="David"/>
          <w:b/>
          <w:bCs/>
          <w:sz w:val="22"/>
          <w:szCs w:val="22"/>
          <w:rtl/>
        </w:rPr>
        <w:t xml:space="preserve">7. טיפול רפואי </w:t>
      </w:r>
      <w:r>
        <w:rPr>
          <w:rFonts w:ascii="David" w:cs="David" w:eastAsia="David" w:hAnsi="David"/>
          <w:sz w:val="22"/>
          <w:szCs w:val="22"/>
          <w:rtl/>
        </w:rPr>
        <w:t xml:space="preserve">AMD יבשה: תוספי ויטמינים/נוגדי חמצון (נוסחת AREDS2) עשויים להאט התקדמות בשלבים בינוניים;</w:t>
      </w:r>
    </w:p>
    <w:p>
      <w:pPr>
        <w:bidi/>
        <w:spacing w:after="140"/>
        <w:jc w:val="right"/>
      </w:pPr>
      <w:r>
        <w:rPr>
          <w:rFonts w:ascii="David" w:cs="David" w:eastAsia="David" w:hAnsi="David"/>
          <w:b/>
          <w:bCs/>
          <w:sz w:val="22"/>
          <w:szCs w:val="22"/>
          <w:rtl/>
        </w:rPr>
        <w:t xml:space="preserve">8. תהליך סיעודי </w:t>
      </w:r>
      <w:r>
        <w:rPr>
          <w:rFonts w:ascii="David" w:cs="David" w:eastAsia="David" w:hAnsi="David"/>
          <w:sz w:val="22"/>
          <w:szCs w:val="22"/>
          <w:rtl/>
        </w:rPr>
        <w:t xml:space="preserve">הדרכה לשימוש ברשת Amsler לניטור עצמי יומי, זיהוי מיידי של עיוות/שינוי ראייה חדש כדחיפות טיפולית (בעיקר בסיכון ל-AMD רטובה), תמיכה בהסתגלות לירידה בראייה המרכזית (עזרי ראייה מוגדלת).</w:t>
      </w:r>
    </w:p>
    <w:p>
      <w:pPr>
        <w:bidi/>
        <w:spacing w:after="140"/>
        <w:jc w:val="right"/>
      </w:pPr>
      <w:r>
        <w:rPr>
          <w:rFonts w:ascii="David" w:cs="David" w:eastAsia="David" w:hAnsi="David"/>
          <w:b/>
          <w:bCs/>
          <w:sz w:val="22"/>
          <w:szCs w:val="22"/>
          <w:rtl/>
        </w:rPr>
        <w:t xml:space="preserve">9-10. חינוך ותוצאות מצופות </w:t>
      </w:r>
      <w:r>
        <w:rPr>
          <w:rFonts w:ascii="David" w:cs="David" w:eastAsia="David" w:hAnsi="David"/>
          <w:sz w:val="22"/>
          <w:szCs w:val="22"/>
          <w:rtl/>
        </w:rPr>
        <w:t xml:space="preserve">הפסקת עישון (גורם סיכון משמעותי הניתן לשינוי), תזונה עשירה בנוגדי חמצון;</w:t>
      </w:r>
    </w:p>
    <w:p>
      <w:r>
        <w:br w:type="page"/>
      </w:r>
    </w:p>
    <w:p>
      <w:pPr>
        <w:pStyle w:val="Heading1"/>
        <w:bidi/>
        <w:jc w:val="right"/>
      </w:pPr>
      <w:r>
        <w:rPr>
          <w:rFonts w:ascii="David" w:cs="David" w:eastAsia="David" w:hAnsi="David"/>
          <w:rtl/>
        </w:rPr>
        <w:t xml:space="preserve">רמה 3 — מקוצר: טבלת השוואה — סיבות מרכזיות לירידה בראייה בגיל מבוגר</w:t>
      </w:r>
    </w:p>
    <w:p>
      <w:pPr>
        <w:spacing w:after="200"/>
      </w:pP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1F4E79" w:val="clear"/>
          </w:tcPr>
          <w:p>
            <w:pPr>
              <w:bidi/>
              <w:jc w:val="right"/>
            </w:pPr>
            <w:r>
              <w:rPr>
                <w:rFonts w:ascii="David" w:cs="David" w:eastAsia="David" w:hAnsi="David"/>
                <w:b/>
                <w:bCs/>
                <w:color w:val="FFFFFF"/>
                <w:sz w:val="20"/>
                <w:szCs w:val="20"/>
                <w:rtl/>
              </w:rPr>
              <w:t xml:space="preserve">מחלה</w:t>
            </w:r>
          </w:p>
        </w:tc>
        <w:tc>
          <w:tcPr>
            <w:tcW w:type="dxa" w:w="2250"/>
            <w:shd w:fill="1F4E79" w:val="clear"/>
          </w:tcPr>
          <w:p>
            <w:pPr>
              <w:bidi/>
              <w:jc w:val="right"/>
            </w:pPr>
            <w:r>
              <w:rPr>
                <w:rFonts w:ascii="David" w:cs="David" w:eastAsia="David" w:hAnsi="David"/>
                <w:b/>
                <w:bCs/>
                <w:color w:val="FFFFFF"/>
                <w:sz w:val="20"/>
                <w:szCs w:val="20"/>
                <w:rtl/>
              </w:rPr>
              <w:t xml:space="preserve">מנגנון</w:t>
            </w:r>
          </w:p>
        </w:tc>
        <w:tc>
          <w:tcPr>
            <w:tcW w:type="dxa" w:w="2250"/>
            <w:shd w:fill="1F4E79" w:val="clear"/>
          </w:tcPr>
          <w:p>
            <w:pPr>
              <w:bidi/>
              <w:jc w:val="right"/>
            </w:pPr>
            <w:r>
              <w:rPr>
                <w:rFonts w:ascii="David" w:cs="David" w:eastAsia="David" w:hAnsi="David"/>
                <w:b/>
                <w:bCs/>
                <w:color w:val="FFFFFF"/>
                <w:sz w:val="20"/>
                <w:szCs w:val="20"/>
                <w:rtl/>
              </w:rPr>
              <w:t xml:space="preserve">אופי אובדן הראייה</w:t>
            </w:r>
          </w:p>
        </w:tc>
        <w:tc>
          <w:tcPr>
            <w:tcW w:type="dxa" w:w="2250"/>
            <w:shd w:fill="1F4E79" w:val="clear"/>
          </w:tcPr>
          <w:p>
            <w:pPr>
              <w:bidi/>
              <w:jc w:val="right"/>
            </w:pPr>
            <w:r>
              <w:rPr>
                <w:rFonts w:ascii="David" w:cs="David" w:eastAsia="David" w:hAnsi="David"/>
                <w:b/>
                <w:bCs/>
                <w:color w:val="FFFFFF"/>
                <w:sz w:val="20"/>
                <w:szCs w:val="20"/>
                <w:rtl/>
              </w:rPr>
              <w:t xml:space="preserve">הפיכות</w:t>
            </w:r>
          </w:p>
        </w:tc>
      </w:tr>
      <w:tr>
        <w:tc>
          <w:tcPr>
            <w:tcW w:type="dxa" w:w="2250"/>
            <w:shd w:fill="F2F2F2" w:val="clear"/>
          </w:tcPr>
          <w:p>
            <w:pPr>
              <w:bidi/>
              <w:jc w:val="right"/>
            </w:pPr>
            <w:r>
              <w:rPr>
                <w:rFonts w:ascii="David" w:cs="David" w:eastAsia="David" w:hAnsi="David"/>
                <w:sz w:val="20"/>
                <w:szCs w:val="20"/>
                <w:rtl/>
              </w:rPr>
              <w:t xml:space="preserve">גלאוקומה</w:t>
            </w:r>
          </w:p>
        </w:tc>
        <w:tc>
          <w:tcPr>
            <w:tcW w:type="dxa" w:w="2250"/>
            <w:shd w:fill="F2F2F2" w:val="clear"/>
          </w:tcPr>
          <w:p>
            <w:pPr>
              <w:bidi/>
              <w:jc w:val="right"/>
            </w:pPr>
            <w:r>
              <w:rPr>
                <w:rFonts w:ascii="David" w:cs="David" w:eastAsia="David" w:hAnsi="David"/>
                <w:sz w:val="20"/>
                <w:szCs w:val="20"/>
                <w:rtl/>
              </w:rPr>
              <w:t xml:space="preserve">פגיעה בעצב הראייה מלחץ תוך-עיני</w:t>
            </w:r>
          </w:p>
        </w:tc>
        <w:tc>
          <w:tcPr>
            <w:tcW w:type="dxa" w:w="2250"/>
            <w:shd w:fill="F2F2F2" w:val="clear"/>
          </w:tcPr>
          <w:p>
            <w:pPr>
              <w:bidi/>
              <w:jc w:val="right"/>
            </w:pPr>
            <w:r>
              <w:rPr>
                <w:rFonts w:ascii="David" w:cs="David" w:eastAsia="David" w:hAnsi="David"/>
                <w:sz w:val="20"/>
                <w:szCs w:val="20"/>
                <w:rtl/>
              </w:rPr>
              <w:t xml:space="preserve">היקפי, הדרגתי, ללא כאב</w:t>
            </w:r>
          </w:p>
        </w:tc>
        <w:tc>
          <w:tcPr>
            <w:tcW w:type="dxa" w:w="2250"/>
            <w:shd w:fill="F2F2F2" w:val="clear"/>
          </w:tcPr>
          <w:p>
            <w:pPr>
              <w:bidi/>
              <w:jc w:val="right"/>
            </w:pPr>
            <w:r>
              <w:rPr>
                <w:rFonts w:ascii="David" w:cs="David" w:eastAsia="David" w:hAnsi="David"/>
                <w:sz w:val="20"/>
                <w:szCs w:val="20"/>
                <w:rtl/>
              </w:rPr>
              <w:t xml:space="preserve">בלתי-הפיך (ניתן לעצור)</w:t>
            </w:r>
          </w:p>
        </w:tc>
      </w:tr>
      <w:tr>
        <w:tc>
          <w:tcPr>
            <w:tcW w:type="dxa" w:w="2250"/>
            <w:shd w:fill="FFFFFF" w:val="clear"/>
          </w:tcPr>
          <w:p>
            <w:pPr>
              <w:bidi/>
              <w:jc w:val="right"/>
            </w:pPr>
            <w:r>
              <w:rPr>
                <w:rFonts w:ascii="David" w:cs="David" w:eastAsia="David" w:hAnsi="David"/>
                <w:sz w:val="20"/>
                <w:szCs w:val="20"/>
                <w:rtl/>
              </w:rPr>
              <w:t xml:space="preserve">קטרקט</w:t>
            </w:r>
          </w:p>
        </w:tc>
        <w:tc>
          <w:tcPr>
            <w:tcW w:type="dxa" w:w="2250"/>
            <w:shd w:fill="FFFFFF" w:val="clear"/>
          </w:tcPr>
          <w:p>
            <w:pPr>
              <w:bidi/>
              <w:jc w:val="right"/>
            </w:pPr>
            <w:r>
              <w:rPr>
                <w:rFonts w:ascii="David" w:cs="David" w:eastAsia="David" w:hAnsi="David"/>
                <w:sz w:val="20"/>
                <w:szCs w:val="20"/>
                <w:rtl/>
              </w:rPr>
              <w:t xml:space="preserve">עכירות עדשה</w:t>
            </w:r>
          </w:p>
        </w:tc>
        <w:tc>
          <w:tcPr>
            <w:tcW w:type="dxa" w:w="2250"/>
            <w:shd w:fill="FFFFFF" w:val="clear"/>
          </w:tcPr>
          <w:p>
            <w:pPr>
              <w:bidi/>
              <w:jc w:val="right"/>
            </w:pPr>
            <w:r>
              <w:rPr>
                <w:rFonts w:ascii="David" w:cs="David" w:eastAsia="David" w:hAnsi="David"/>
                <w:sz w:val="20"/>
                <w:szCs w:val="20"/>
                <w:rtl/>
              </w:rPr>
              <w:t xml:space="preserve">כללי, מטושטש, הדרגתי</w:t>
            </w:r>
          </w:p>
        </w:tc>
        <w:tc>
          <w:tcPr>
            <w:tcW w:type="dxa" w:w="2250"/>
            <w:shd w:fill="FFFFFF" w:val="clear"/>
          </w:tcPr>
          <w:p>
            <w:pPr>
              <w:bidi/>
              <w:jc w:val="right"/>
            </w:pPr>
            <w:r>
              <w:rPr>
                <w:rFonts w:ascii="David" w:cs="David" w:eastAsia="David" w:hAnsi="David"/>
                <w:sz w:val="20"/>
                <w:szCs w:val="20"/>
                <w:rtl/>
              </w:rPr>
              <w:t xml:space="preserve">הפיך בניתוח</w:t>
            </w:r>
          </w:p>
        </w:tc>
      </w:tr>
      <w:tr>
        <w:tc>
          <w:tcPr>
            <w:tcW w:type="dxa" w:w="2250"/>
            <w:shd w:fill="F2F2F2" w:val="clear"/>
          </w:tcPr>
          <w:p>
            <w:pPr>
              <w:bidi/>
              <w:jc w:val="right"/>
            </w:pPr>
            <w:r>
              <w:rPr>
                <w:rFonts w:ascii="David" w:cs="David" w:eastAsia="David" w:hAnsi="David"/>
                <w:sz w:val="20"/>
                <w:szCs w:val="20"/>
                <w:rtl/>
              </w:rPr>
              <w:t xml:space="preserve">ניוון מקולרי (AMD)</w:t>
            </w:r>
          </w:p>
        </w:tc>
        <w:tc>
          <w:tcPr>
            <w:tcW w:type="dxa" w:w="2250"/>
            <w:shd w:fill="F2F2F2" w:val="clear"/>
          </w:tcPr>
          <w:p>
            <w:pPr>
              <w:bidi/>
              <w:jc w:val="right"/>
            </w:pPr>
            <w:r>
              <w:rPr>
                <w:rFonts w:ascii="David" w:cs="David" w:eastAsia="David" w:hAnsi="David"/>
                <w:sz w:val="20"/>
                <w:szCs w:val="20"/>
                <w:rtl/>
              </w:rPr>
              <w:t xml:space="preserve">פגיעה במקולה</w:t>
            </w:r>
          </w:p>
        </w:tc>
        <w:tc>
          <w:tcPr>
            <w:tcW w:type="dxa" w:w="2250"/>
            <w:shd w:fill="F2F2F2" w:val="clear"/>
          </w:tcPr>
          <w:p>
            <w:pPr>
              <w:bidi/>
              <w:jc w:val="right"/>
            </w:pPr>
            <w:r>
              <w:rPr>
                <w:rFonts w:ascii="David" w:cs="David" w:eastAsia="David" w:hAnsi="David"/>
                <w:sz w:val="20"/>
                <w:szCs w:val="20"/>
                <w:rtl/>
              </w:rPr>
              <w:t xml:space="preserve">מרכזי (עיוות/נקודה עיוורת)</w:t>
            </w:r>
          </w:p>
        </w:tc>
        <w:tc>
          <w:tcPr>
            <w:tcW w:type="dxa" w:w="2250"/>
            <w:shd w:fill="F2F2F2" w:val="clear"/>
          </w:tcPr>
          <w:p>
            <w:pPr>
              <w:bidi/>
              <w:jc w:val="right"/>
            </w:pPr>
            <w:r>
              <w:rPr>
                <w:rFonts w:ascii="David" w:cs="David" w:eastAsia="David" w:hAnsi="David"/>
                <w:sz w:val="20"/>
                <w:szCs w:val="20"/>
                <w:rtl/>
              </w:rPr>
              <w:t xml:space="preserve">בלתי-הפיך (ניתן להאיט)</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rtl/>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2026-07-02T11:42:12.646Z</dcterms:created>
  <dcterms:modified xsi:type="dcterms:W3CDTF">2026-07-02T11:42:12.646Z</dcterms:modified>
</cp:coreProperties>
</file>

<file path=docProps/custom.xml><?xml version="1.0" encoding="utf-8"?>
<Properties xmlns="http://schemas.openxmlformats.org/officeDocument/2006/custom-properties" xmlns:vt="http://schemas.openxmlformats.org/officeDocument/2006/docPropsVTypes"/>
</file>