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400" w:before="2000"/>
        <w:jc w:val="center"/>
      </w:pPr>
      <w:r>
        <w:rPr>
          <w:rFonts w:ascii="David" w:cs="David" w:eastAsia="David" w:hAnsi="David"/>
          <w:b/>
          <w:bCs/>
          <w:sz w:val="40"/>
          <w:szCs w:val="40"/>
          <w:rtl/>
        </w:rPr>
        <w:t xml:space="preserve">פרקים 21-25 — הלב וכלי הדם</w:t>
      </w:r>
    </w:p>
    <w:p>
      <w:pPr>
        <w:bidi/>
        <w:spacing w:after="200"/>
        <w:jc w:val="center"/>
      </w:pPr>
      <w:r>
        <w:rPr>
          <w:rFonts w:ascii="David" w:cs="David" w:eastAsia="David" w:hAnsi="David"/>
          <w:i/>
          <w:iCs/>
          <w:sz w:val="26"/>
          <w:szCs w:val="26"/>
          <w:rtl/>
        </w:rPr>
        <w:t xml:space="preserve">סיכום קליני-סיעודי לפי מסגרת 11 הסעיפים</w:t>
      </w:r>
    </w:p>
    <w:p>
      <w:pPr>
        <w:bidi/>
        <w:jc w:val="center"/>
      </w:pPr>
      <w:r>
        <w:rPr>
          <w:rFonts w:ascii="David" w:cs="David" w:eastAsia="David" w:hAnsi="David"/>
          <w:color w:val="666666"/>
          <w:sz w:val="20"/>
          <w:szCs w:val="20"/>
          <w:rtl/>
        </w:rPr>
        <w:t xml:space="preserve">מבוסס על: Brunner &amp; Suddarth's Textbook of Medical-Surgical Nursing, 15th Edition, Chapters 21-25</w:t>
      </w:r>
    </w:p>
    <w:p>
      <w:r>
        <w:br w:type="page"/>
      </w:r>
    </w:p>
    <w:p>
      <w:pPr>
        <w:pStyle w:val="Heading1"/>
        <w:bidi/>
        <w:jc w:val="right"/>
      </w:pPr>
      <w:r>
        <w:rPr>
          <w:rFonts w:ascii="David" w:cs="David" w:eastAsia="David" w:hAnsi="David"/>
          <w:rtl/>
        </w:rPr>
        <w:t xml:space="preserve">מחלת עורקים כליליים ותעוקת חזה (CAD &amp; Angina)</w:t>
      </w:r>
    </w:p>
    <w:p>
      <w:pPr>
        <w:pStyle w:val="Heading3"/>
        <w:bidi/>
        <w:spacing w:after="100" w:before="200"/>
        <w:jc w:val="right"/>
      </w:pPr>
      <w:r>
        <w:rPr>
          <w:rFonts w:ascii="David" w:cs="David" w:eastAsia="David" w:hAnsi="David"/>
          <w:b/>
          <w:bCs/>
          <w:color w:val="1F4E79"/>
          <w:sz w:val="24"/>
          <w:szCs w:val="24"/>
          <w:rtl/>
        </w:rPr>
        <w:t xml:space="preserve">רמה 1 — מלא</w:t>
      </w:r>
    </w:p>
    <w:p>
      <w:pPr>
        <w:bidi/>
        <w:spacing w:after="140"/>
        <w:jc w:val="right"/>
      </w:pPr>
      <w:r>
        <w:rPr>
          <w:rFonts w:ascii="David" w:cs="David" w:eastAsia="David" w:hAnsi="David"/>
          <w:b/>
          <w:bCs/>
          <w:sz w:val="22"/>
          <w:szCs w:val="22"/>
          <w:rtl/>
        </w:rPr>
        <w:t xml:space="preserve">1. הגדרה ואטיולוגיה </w:t>
      </w:r>
      <w:r>
        <w:rPr>
          <w:rFonts w:ascii="David" w:cs="David" w:eastAsia="David" w:hAnsi="David"/>
          <w:sz w:val="22"/>
          <w:szCs w:val="22"/>
          <w:rtl/>
        </w:rPr>
        <w:t xml:space="preserve">היצרות עורקים כליליים עקב טרשת עורקים (Atherosclerosis) — הצטברות רבדים שומניים בדופן העורק. גורמי סיכון: היפרליפידמיה, יתר לחץ דם, עישון, סוכרת, השמנה, חוסר פעילות, תורשה, גיל.</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הצטברות רובד טרשתי מצמצמת את לומן העורק הכלילי → אספקת חמצן לשריר הלב אינה מספקת ביחס לדרישה (בעיקר במאמץ) → איסכמיה חולפת → כאב תעוקתי (Angina). קרע ברובד עלול לגרום לפקקת אקוטית וחסימה מלאה (אוטם).</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קרדיווסקולרית בעיקר; השפעות סיסטמיות במקרה של אי-ספיקת לב משנית.</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תעוקת חזה יציבה: כאב/לחץ בחזה במאמץ, חולף במנוחה/ניטרוגליצרין תוך דקות. תעוקה לא יציבה: כאב במנוחה, מתגבר בתדירות/עוצמה — מבשר אוטם. הקרנה לזרוע שמאל, לסת, גב; לעיתים מלווה בהזעה, בחילה, קוצר נשימה. נשים ומבוגרים עלולים להציג תסמינים לא טיפוסיים (עייפות, בחילה בלבד).</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א.ק.ג (שינויי ST-T באיסכמיה), טרופונין (מבדיל תעוקה מאוטם — מוגבר רק באוטם), בדיקת מאמץ, צנתור לב אבחנתי (הדמיית העורקים הכליליים), אקו לב.</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אוטם שריר הלב חריף, הפרעות קצב, אי-ספיקת לב, מוות פתאומי.</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תרופתי: ניטרטים (הרחבת כלי דם), חוסמי בטא (הפחתת דרישת חמצן), נוגדי טסיות (אספירין), סטטינים. פולשני: צנתור וסטנטינג (PCI), מעקף כלילי (CABG) במחלה נרחבת.</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הערכת כאב חזה (מיקום, עוצמה, גורמים מקלים/מחמירים), מתן ניטרוגליצרין וניטור תגובה, חינוך לזיהוי תסמיני אוטם ופנייה מיידית, תמיכה בשינוי אורח חיים.</w:t>
      </w:r>
    </w:p>
    <w:p>
      <w:pPr>
        <w:bidi/>
        <w:spacing w:after="140"/>
        <w:jc w:val="right"/>
      </w:pPr>
      <w:r>
        <w:rPr>
          <w:rFonts w:ascii="David" w:cs="David" w:eastAsia="David" w:hAnsi="David"/>
          <w:b/>
          <w:bCs/>
          <w:sz w:val="22"/>
          <w:szCs w:val="22"/>
          <w:rtl/>
        </w:rPr>
        <w:t xml:space="preserve">9. תזונה/אורח חיים/חינוך </w:t>
      </w:r>
      <w:r>
        <w:rPr>
          <w:rFonts w:ascii="David" w:cs="David" w:eastAsia="David" w:hAnsi="David"/>
          <w:sz w:val="22"/>
          <w:szCs w:val="22"/>
          <w:rtl/>
        </w:rPr>
        <w:t xml:space="preserve">תזונה דלת שומן רווי ונתרן, הפסקת עישון, פעילות גופנית מבוקרת, ניהול משקל ולחץ נפשי, נטילת תרופות קבועה.</w:t>
      </w:r>
    </w:p>
    <w:p>
      <w:pPr>
        <w:bidi/>
        <w:spacing w:after="140"/>
        <w:jc w:val="right"/>
      </w:pPr>
      <w:r>
        <w:rPr>
          <w:rFonts w:ascii="David" w:cs="David" w:eastAsia="David" w:hAnsi="David"/>
          <w:b/>
          <w:bCs/>
          <w:sz w:val="22"/>
          <w:szCs w:val="22"/>
          <w:rtl/>
        </w:rPr>
        <w:t xml:space="preserve">10. תוצאות מצופות </w:t>
      </w:r>
      <w:r>
        <w:rPr>
          <w:rFonts w:ascii="David" w:cs="David" w:eastAsia="David" w:hAnsi="David"/>
          <w:sz w:val="22"/>
          <w:szCs w:val="22"/>
          <w:rtl/>
        </w:rPr>
        <w:t xml:space="preserve">הפחתת תדירות/עוצמת אירועי תעוקה, שיפור סבילות למאמץ, מניעת אוטם.</w:t>
      </w:r>
    </w:p>
    <w:p>
      <w:pPr>
        <w:pStyle w:val="Heading3"/>
        <w:bidi/>
        <w:spacing w:after="100" w:before="200"/>
        <w:jc w:val="right"/>
      </w:pPr>
      <w:r>
        <w:rPr>
          <w:rFonts w:ascii="David" w:cs="David" w:eastAsia="David" w:hAnsi="David"/>
          <w:b/>
          <w:bCs/>
          <w:color w:val="1F4E79"/>
          <w:sz w:val="24"/>
          <w:szCs w:val="24"/>
          <w:rtl/>
        </w:rPr>
        <w:t xml:space="preserve">רמה 2 — ביניים</w:t>
      </w:r>
    </w:p>
    <w:p>
      <w:pPr>
        <w:bidi/>
        <w:spacing w:after="140"/>
        <w:jc w:val="right"/>
      </w:pPr>
      <w:r>
        <w:rPr>
          <w:rFonts w:ascii="David" w:cs="David" w:eastAsia="David" w:hAnsi="David"/>
          <w:b/>
          <w:bCs/>
          <w:sz w:val="22"/>
          <w:szCs w:val="22"/>
          <w:rtl/>
        </w:rPr>
        <w:t xml:space="preserve">1. הגדרה ואטיולוגיה </w:t>
      </w:r>
      <w:r>
        <w:rPr>
          <w:rFonts w:ascii="David" w:cs="David" w:eastAsia="David" w:hAnsi="David"/>
          <w:sz w:val="22"/>
          <w:szCs w:val="22"/>
          <w:rtl/>
        </w:rPr>
        <w:t xml:space="preserve">היצרות עורקים כליליים עקב טרשת עורקים (Atherosclerosis) — הצטברות רבדים שומניים בדופן העורק.</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הצטברות רובד טרשתי מצמצמת את לומן העורק הכלילי → אספקת חמצן לשריר הלב אינה מספקת ביחס לדרישה (בעיקר במאמץ) → איסכמיה חולפת → כאב תעוקתי (Angina).</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קרדיווסקולרית בעיקר;</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תעוקת חזה יציבה: כאב/לחץ בחזה במאמץ, חולף במנוחה/ניטרוגליצרין תוך דקות.</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א.ק.ג (שינויי ST-T באיסכמיה), טרופונין (מבדיל תעוקה מאוטם — מוגבר רק באוטם), בדיקת מאמץ, צנתור לב אבחנתי (הדמיית העורקים הכליליים), אקו לב.</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אוטם שריר הלב חריף, הפרעות קצב, אי-ספיקת לב, מוות פתאומי.</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תרופתי: ניטרטים (הרחבת כלי דם), חוסמי בטא (הפחתת דרישת חמצן), נוגדי טסיות (אספירין), סטטינים.</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הערכת כאב חזה (מיקום, עוצמה, גורמים מקלים/מחמירים), מתן ניטרוגליצרין וניטור תגובה, חינוך לזיהוי תסמיני אוטם ופנייה מיידית, תמיכה בשינוי אורח חיים.</w:t>
      </w:r>
    </w:p>
    <w:p>
      <w:pPr>
        <w:bidi/>
        <w:spacing w:after="140"/>
        <w:jc w:val="right"/>
      </w:pPr>
      <w:r>
        <w:rPr>
          <w:rFonts w:ascii="David" w:cs="David" w:eastAsia="David" w:hAnsi="David"/>
          <w:b/>
          <w:bCs/>
          <w:sz w:val="22"/>
          <w:szCs w:val="22"/>
          <w:rtl/>
        </w:rPr>
        <w:t xml:space="preserve">9. תזונה/אורח חיים/חינוך </w:t>
      </w:r>
      <w:r>
        <w:rPr>
          <w:rFonts w:ascii="David" w:cs="David" w:eastAsia="David" w:hAnsi="David"/>
          <w:sz w:val="22"/>
          <w:szCs w:val="22"/>
          <w:rtl/>
        </w:rPr>
        <w:t xml:space="preserve">תזונה דלת שומן רווי ונתרן, הפסקת עישון, פעילות גופנית מבוקרת, ניהול משקל ולחץ נפשי, נטילת תרופות קבועה.</w:t>
      </w:r>
    </w:p>
    <w:p>
      <w:pPr>
        <w:bidi/>
        <w:spacing w:after="140"/>
        <w:jc w:val="right"/>
      </w:pPr>
      <w:r>
        <w:rPr>
          <w:rFonts w:ascii="David" w:cs="David" w:eastAsia="David" w:hAnsi="David"/>
          <w:b/>
          <w:bCs/>
          <w:sz w:val="22"/>
          <w:szCs w:val="22"/>
          <w:rtl/>
        </w:rPr>
        <w:t xml:space="preserve">10. תוצאות מצופות </w:t>
      </w:r>
      <w:r>
        <w:rPr>
          <w:rFonts w:ascii="David" w:cs="David" w:eastAsia="David" w:hAnsi="David"/>
          <w:sz w:val="22"/>
          <w:szCs w:val="22"/>
          <w:rtl/>
        </w:rPr>
        <w:t xml:space="preserve">הפחתת תדירות/עוצמת אירועי תעוקה, שיפור סבילות למאמץ, מניעת אוטם.</w:t>
      </w:r>
    </w:p>
    <w:p>
      <w:r>
        <w:br w:type="page"/>
      </w:r>
    </w:p>
    <w:p>
      <w:pPr>
        <w:pStyle w:val="Heading1"/>
        <w:bidi/>
        <w:jc w:val="right"/>
      </w:pPr>
      <w:r>
        <w:rPr>
          <w:rFonts w:ascii="David" w:cs="David" w:eastAsia="David" w:hAnsi="David"/>
          <w:rtl/>
        </w:rPr>
        <w:t xml:space="preserve">אוטם שריר הלב חריף (Acute MI)</w:t>
      </w:r>
    </w:p>
    <w:p>
      <w:pPr>
        <w:pStyle w:val="Heading3"/>
        <w:bidi/>
        <w:spacing w:after="100" w:before="200"/>
        <w:jc w:val="right"/>
      </w:pPr>
      <w:r>
        <w:rPr>
          <w:rFonts w:ascii="David" w:cs="David" w:eastAsia="David" w:hAnsi="David"/>
          <w:b/>
          <w:bCs/>
          <w:color w:val="1F4E79"/>
          <w:sz w:val="24"/>
          <w:szCs w:val="24"/>
          <w:rtl/>
        </w:rPr>
        <w:t xml:space="preserve">רמה 1 — מלא</w:t>
      </w:r>
    </w:p>
    <w:p>
      <w:pPr>
        <w:bidi/>
        <w:spacing w:after="140"/>
        <w:jc w:val="right"/>
      </w:pPr>
      <w:r>
        <w:rPr>
          <w:rFonts w:ascii="David" w:cs="David" w:eastAsia="David" w:hAnsi="David"/>
          <w:b/>
          <w:bCs/>
          <w:sz w:val="22"/>
          <w:szCs w:val="22"/>
          <w:rtl/>
        </w:rPr>
        <w:t xml:space="preserve">1. הגדרה ואטיולוגיה </w:t>
      </w:r>
      <w:r>
        <w:rPr>
          <w:rFonts w:ascii="David" w:cs="David" w:eastAsia="David" w:hAnsi="David"/>
          <w:sz w:val="22"/>
          <w:szCs w:val="22"/>
          <w:rtl/>
        </w:rPr>
        <w:t xml:space="preserve">נמק של רקמת שריר לב עקב הפסקה ממושכת של זרימת דם כלילית, לרוב עקב פקקת חריפה על רובד טרשתי שנקרע.</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חסימה מלאה של עורק כלילי → איסכמיה חמורה מעבר ל-20-40 דקות → נמק בלתי הפיך של שריר הלב, המתחיל באזור התת-אנדוקרדיאלי ומתקדם כלפי חוץ ('Wavefront phenomenon') — ומכאן החשיבות הקריטית של זמן עד לפתיחת העורק ('Time is Muscle').</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קרדיווסקולרית; עלול להוביל להלם קרדיוגני ולבצקת ריאות (מעורבות נשימתית).</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כאב חזה עז, ממושך (מעל 20 דקות), אינו חולף במנוחה/ניטרטים, לעיתים מלווה הזעה קרה, בחילה, חרדה קשה, תחושת מוות מתקרב. STEMI מול NSTEMI — נבדל לפי א.ק.ג.</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א.ק.ג — עליית מקטע ST (STEMI) או שינויים אחרים (NSTEMI); סמנים ביוכימיים — טרופונין (עולה תוך 3-6 שעות, נשאר גבוה ימים), CK-MB; אקו לב להערכת תפקוד חדר שמאל.</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הפרעות קצב קטלניות (במיוחד VF בשעות הראשונות), הלם קרדיוגני, אי-ספיקת לב, קרע שריר הלב/מחיצה, פריקרדיטיס (תסמונת דרסלר), מוות.</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פרוטוקול MONA-B (מורפין, חמצן, ניטרטים, אספירין, חוסם בטא) — היסטורי, כיום דגש על ריפרפוזיה מהירה: PCI ראשוני תוך פחות מ-90 דקות מהגעה ('Door-to-Balloon'), או תרומבוליזה אם PCI אינו זמין; נוגדי טסיות כפולים, אנטיקואגולציה, סטטינים במינון גבוה.</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א.ק.ג מיידי בכל חשד לתסמונת כלילית חריפה (תוך 10 דקות מהגעה), ניטור קצב לב רציף לזיהוי הפרעות קצב, מתן חמצן וטיפול תרופתי לפי הוראה, הערכת כאב חוזרת, מנוחה במיטה בשלב האקוטי, תמיכה רגשית בחרדה.</w:t>
      </w:r>
    </w:p>
    <w:p>
      <w:pPr>
        <w:bidi/>
        <w:spacing w:after="140"/>
        <w:jc w:val="right"/>
      </w:pPr>
      <w:r>
        <w:rPr>
          <w:rFonts w:ascii="David" w:cs="David" w:eastAsia="David" w:hAnsi="David"/>
          <w:b/>
          <w:bCs/>
          <w:sz w:val="22"/>
          <w:szCs w:val="22"/>
          <w:rtl/>
        </w:rPr>
        <w:t xml:space="preserve">9. תזונה/אורח חיים/חינוך </w:t>
      </w:r>
      <w:r>
        <w:rPr>
          <w:rFonts w:ascii="David" w:cs="David" w:eastAsia="David" w:hAnsi="David"/>
          <w:sz w:val="22"/>
          <w:szCs w:val="22"/>
          <w:rtl/>
        </w:rPr>
        <w:t xml:space="preserve">שיקום לב הדרגתי (Cardiac Rehabilitation), חינוך לגורמי סיכון לשינוי, תוכנית פעילות גופנית מבוקרת, הפסקת עישון מוחלטת.</w:t>
      </w:r>
    </w:p>
    <w:p>
      <w:pPr>
        <w:bidi/>
        <w:spacing w:after="140"/>
        <w:jc w:val="right"/>
      </w:pPr>
      <w:r>
        <w:rPr>
          <w:rFonts w:ascii="David" w:cs="David" w:eastAsia="David" w:hAnsi="David"/>
          <w:b/>
          <w:bCs/>
          <w:sz w:val="22"/>
          <w:szCs w:val="22"/>
          <w:rtl/>
        </w:rPr>
        <w:t xml:space="preserve">10. תוצאות מצופות </w:t>
      </w:r>
      <w:r>
        <w:rPr>
          <w:rFonts w:ascii="David" w:cs="David" w:eastAsia="David" w:hAnsi="David"/>
          <w:sz w:val="22"/>
          <w:szCs w:val="22"/>
          <w:rtl/>
        </w:rPr>
        <w:t xml:space="preserve">פתיחת העורק החסום בזמן מיטבי, שימור תפקוד חדר שמאל, מניעת סיבוכים, חזרה הדרגתית לפעילות.</w:t>
      </w:r>
    </w:p>
    <w:p>
      <w:pPr>
        <w:bidi/>
        <w:spacing w:after="140"/>
        <w:jc w:val="right"/>
      </w:pPr>
      <w:r>
        <w:rPr>
          <w:rFonts w:ascii="David" w:cs="David" w:eastAsia="David" w:hAnsi="David"/>
          <w:b/>
          <w:bCs/>
          <w:sz w:val="22"/>
          <w:szCs w:val="22"/>
          <w:rtl/>
        </w:rPr>
        <w:t xml:space="preserve">11. השוואה </w:t>
      </w:r>
      <w:r>
        <w:rPr>
          <w:rFonts w:ascii="David" w:cs="David" w:eastAsia="David" w:hAnsi="David"/>
          <w:sz w:val="22"/>
          <w:szCs w:val="22"/>
          <w:rtl/>
        </w:rPr>
        <w:t xml:space="preserve">STEMI (עליית ST) — חסימה מלאה, מחייב ריפרפוזיה מיידית (PCI/תרומבוליזה). NSTEMI (ללא עליית ST) — חסימה חלקית, טיפול תרופתי דחוף עם צנתור מוקדם (לא בהכרח מיידי).</w:t>
      </w:r>
    </w:p>
    <w:p>
      <w:pPr>
        <w:pStyle w:val="Heading3"/>
        <w:bidi/>
        <w:spacing w:after="100" w:before="200"/>
        <w:jc w:val="right"/>
      </w:pPr>
      <w:r>
        <w:rPr>
          <w:rFonts w:ascii="David" w:cs="David" w:eastAsia="David" w:hAnsi="David"/>
          <w:b/>
          <w:bCs/>
          <w:color w:val="1F4E79"/>
          <w:sz w:val="24"/>
          <w:szCs w:val="24"/>
          <w:rtl/>
        </w:rPr>
        <w:t xml:space="preserve">רמה 2 — ביניים</w:t>
      </w:r>
    </w:p>
    <w:p>
      <w:pPr>
        <w:bidi/>
        <w:spacing w:after="140"/>
        <w:jc w:val="right"/>
      </w:pPr>
      <w:r>
        <w:rPr>
          <w:rFonts w:ascii="David" w:cs="David" w:eastAsia="David" w:hAnsi="David"/>
          <w:b/>
          <w:bCs/>
          <w:sz w:val="22"/>
          <w:szCs w:val="22"/>
          <w:rtl/>
        </w:rPr>
        <w:t xml:space="preserve">1. הגדרה ואטיולוגיה </w:t>
      </w:r>
      <w:r>
        <w:rPr>
          <w:rFonts w:ascii="David" w:cs="David" w:eastAsia="David" w:hAnsi="David"/>
          <w:sz w:val="22"/>
          <w:szCs w:val="22"/>
          <w:rtl/>
        </w:rPr>
        <w:t xml:space="preserve">נמק של רקמת שריר לב עקב הפסקה ממושכת של זרימת דם כלילית, לרוב עקב פקקת חריפה על רובד טרשתי שנקרע.</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חסימה מלאה של עורק כלילי → איסכמיה חמורה מעבר ל-20-40 דקות → נמק בלתי הפיך של שריר הלב, המתחיל באזור התת-אנדוקרדיאלי ומתקדם כלפי חוץ ('Wavefront phenomenon') — ומכאן החשיבות הקריטית של זמן עד לפתיחת העורק ('Time is Muscle').</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קרדיווסקולרית;</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כאב חזה עז, ממושך (מעל 20 דקות), אינו חולף במנוחה/ניטרטים, לעיתים מלווה הזעה קרה, בחילה, חרדה קשה, תחושת מוות מתקרב.</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א.ק.ג — עליית מקטע ST (STEMI) או שינויים אחרים (NSTEMI);</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הפרעות קצב קטלניות (במיוחד VF בשעות הראשונות), הלם קרדיוגני, אי-ספיקת לב, קרע שריר הלב/מחיצה, פריקרדיטיס (תסמונת דרסלר), מוות.</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פרוטוקול MONA-B (מורפין, חמצן, ניטרטים, אספירין, חוסם בטא) — היסטורי, כיום דגש על ריפרפוזיה מהירה: PCI ראשוני תוך פחות מ-90 דקות מהגעה ('Door-to-Balloon'), או תרומבוליזה אם PCI אינו זמין;</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א.ק.ג מיידי בכל חשד לתסמונת כלילית חריפה (תוך 10 דקות מהגעה), ניטור קצב לב רציף לזיהוי הפרעות קצב, מתן חמצן וטיפול תרופתי לפי הוראה, הערכת כאב חוזרת, מנוחה במיטה בשלב האקוטי, תמיכה רגשית בחרדה.</w:t>
      </w:r>
    </w:p>
    <w:p>
      <w:pPr>
        <w:bidi/>
        <w:spacing w:after="140"/>
        <w:jc w:val="right"/>
      </w:pPr>
      <w:r>
        <w:rPr>
          <w:rFonts w:ascii="David" w:cs="David" w:eastAsia="David" w:hAnsi="David"/>
          <w:b/>
          <w:bCs/>
          <w:sz w:val="22"/>
          <w:szCs w:val="22"/>
          <w:rtl/>
        </w:rPr>
        <w:t xml:space="preserve">9. תזונה/אורח חיים/חינוך </w:t>
      </w:r>
      <w:r>
        <w:rPr>
          <w:rFonts w:ascii="David" w:cs="David" w:eastAsia="David" w:hAnsi="David"/>
          <w:sz w:val="22"/>
          <w:szCs w:val="22"/>
          <w:rtl/>
        </w:rPr>
        <w:t xml:space="preserve">שיקום לב הדרגתי (Cardiac Rehabilitation), חינוך לגורמי סיכון לשינוי, תוכנית פעילות גופנית מבוקרת, הפסקת עישון מוחלטת.</w:t>
      </w:r>
    </w:p>
    <w:p>
      <w:pPr>
        <w:bidi/>
        <w:spacing w:after="140"/>
        <w:jc w:val="right"/>
      </w:pPr>
      <w:r>
        <w:rPr>
          <w:rFonts w:ascii="David" w:cs="David" w:eastAsia="David" w:hAnsi="David"/>
          <w:b/>
          <w:bCs/>
          <w:sz w:val="22"/>
          <w:szCs w:val="22"/>
          <w:rtl/>
        </w:rPr>
        <w:t xml:space="preserve">10. תוצאות מצופות </w:t>
      </w:r>
      <w:r>
        <w:rPr>
          <w:rFonts w:ascii="David" w:cs="David" w:eastAsia="David" w:hAnsi="David"/>
          <w:sz w:val="22"/>
          <w:szCs w:val="22"/>
          <w:rtl/>
        </w:rPr>
        <w:t xml:space="preserve">פתיחת העורק החסום בזמן מיטבי, שימור תפקוד חדר שמאל, מניעת סיבוכים, חזרה הדרגתית לפעילות.</w:t>
      </w:r>
    </w:p>
    <w:p>
      <w:pPr>
        <w:bidi/>
        <w:spacing w:after="140"/>
        <w:jc w:val="right"/>
      </w:pPr>
      <w:r>
        <w:rPr>
          <w:rFonts w:ascii="David" w:cs="David" w:eastAsia="David" w:hAnsi="David"/>
          <w:b/>
          <w:bCs/>
          <w:sz w:val="22"/>
          <w:szCs w:val="22"/>
          <w:rtl/>
        </w:rPr>
        <w:t xml:space="preserve">11. השוואה </w:t>
      </w:r>
      <w:r>
        <w:rPr>
          <w:rFonts w:ascii="David" w:cs="David" w:eastAsia="David" w:hAnsi="David"/>
          <w:sz w:val="22"/>
          <w:szCs w:val="22"/>
          <w:rtl/>
        </w:rPr>
        <w:t xml:space="preserve">STEMI (עליית ST) — חסימה מלאה, מחייב ריפרפוזיה מיידית (PCI/תרומבוליזה).</w:t>
      </w:r>
    </w:p>
    <w:p>
      <w:r>
        <w:br w:type="page"/>
      </w:r>
    </w:p>
    <w:p>
      <w:pPr>
        <w:pStyle w:val="Heading1"/>
        <w:bidi/>
        <w:jc w:val="right"/>
      </w:pPr>
      <w:r>
        <w:rPr>
          <w:rFonts w:ascii="David" w:cs="David" w:eastAsia="David" w:hAnsi="David"/>
          <w:rtl/>
        </w:rPr>
        <w:t xml:space="preserve">אי-ספיקת לב (Heart Failure)</w:t>
      </w:r>
    </w:p>
    <w:p>
      <w:pPr>
        <w:pStyle w:val="Heading3"/>
        <w:bidi/>
        <w:spacing w:after="100" w:before="200"/>
        <w:jc w:val="right"/>
      </w:pPr>
      <w:r>
        <w:rPr>
          <w:rFonts w:ascii="David" w:cs="David" w:eastAsia="David" w:hAnsi="David"/>
          <w:b/>
          <w:bCs/>
          <w:color w:val="1F4E79"/>
          <w:sz w:val="24"/>
          <w:szCs w:val="24"/>
          <w:rtl/>
        </w:rPr>
        <w:t xml:space="preserve">רמה 1 — מלא</w:t>
      </w:r>
    </w:p>
    <w:p>
      <w:pPr>
        <w:bidi/>
        <w:spacing w:after="140"/>
        <w:jc w:val="right"/>
      </w:pPr>
      <w:r>
        <w:rPr>
          <w:rFonts w:ascii="David" w:cs="David" w:eastAsia="David" w:hAnsi="David"/>
          <w:b/>
          <w:bCs/>
          <w:sz w:val="22"/>
          <w:szCs w:val="22"/>
          <w:rtl/>
        </w:rPr>
        <w:t xml:space="preserve">1. הגדרה ואטיולוגיה </w:t>
      </w:r>
      <w:r>
        <w:rPr>
          <w:rFonts w:ascii="David" w:cs="David" w:eastAsia="David" w:hAnsi="David"/>
          <w:sz w:val="22"/>
          <w:szCs w:val="22"/>
          <w:rtl/>
        </w:rPr>
        <w:t xml:space="preserve">מצב בו הלב אינו מסוגל לשאוב דם מספיק לצרכי הגוף. גורמים: מחלת עורקים כליליים/אוטם קודם, יתר לחץ דם כרוני, מחלת מסתמים, קרדיומיופתיה, הפרעות קצב.</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אי-ספיקת חדר שמאל (סיסטולית — ירידה בכיווץ; דיאסטולית — ליקוי במילוי) → גודש ורידי-ריאתי ובצקת ריאות. אי-ספיקת חדר ימין (לרוב שניונית לאי-ספיקת שמאל) → גודש ורידי סיסטמי — בצקות פריפריות, הפטומגליה, מיימת. מנגנוני פיצוי (מערכת RAAS, היפרטרופיה) לטווח ארוך מחמירים את המחלה.</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קרדיווסקולרית, נשימתית (גודש ריאתי), כלייתית (ירידה בפרפוזיה כלייתית והפעלת RAAS), כבדית (גודש בכשל ימני).</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אי-ספיקת שמאל: דיספניאה במאמץ ואורתופניאה, PND (התעוררות לילית עם קוצר נשימה), Crackles בהאזנה, שיעול עם ליחה ורודה-קצפית. אי-ספיקת ימין: בצקות בגפיים תחתונות, עלייה במשקל, מיימת, JVD (בליטת ורידי צוואר), הפטומגליה.</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BNP/NT-proBNP מוגבר (סמן ביוכימי מרכזי), אקו לב — מדד שבר פליטה (EF) המבחין בין HFrEF (EF מופחת) ל-HFpEF (EF שמור), צילום חזה (גודש ריאתי, קרדיומגליה), משקל יומי כמדד למעקב נוזלים.</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בצקת ריאות חריפה, הלם קרדיוגני, הפרעות קצב, פגיעה כלייתית (Cardiorenal Syndrome), תמותה.</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משתנים (הפחתת עומס נפח), מעכבי ACE/ARB וחוסמי בטא (הפחתת עומס והאטת שיפוץ שרירי), אנטגוניסטים לאלדוסטרון, במקרים מתקדמים — מכשור תמיכה מכנית (LVAD) או השתלת לב.</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שקילה יומית באותם תנאים (עלייה &gt;1-1.5 ק"ג ביום מרמזת אצירת נוזלים), הגבלת נתרן ונוזלים, ניטור סימני גודש, מיצוב ראש מיטה מוגבה, מתן משתנים וניטור אלקטרוליטים (במיוחד אשלגן).</w:t>
      </w:r>
    </w:p>
    <w:p>
      <w:pPr>
        <w:bidi/>
        <w:spacing w:after="140"/>
        <w:jc w:val="right"/>
      </w:pPr>
      <w:r>
        <w:rPr>
          <w:rFonts w:ascii="David" w:cs="David" w:eastAsia="David" w:hAnsi="David"/>
          <w:b/>
          <w:bCs/>
          <w:sz w:val="22"/>
          <w:szCs w:val="22"/>
          <w:rtl/>
        </w:rPr>
        <w:t xml:space="preserve">9. תזונה/אורח חיים/חינוך </w:t>
      </w:r>
      <w:r>
        <w:rPr>
          <w:rFonts w:ascii="David" w:cs="David" w:eastAsia="David" w:hAnsi="David"/>
          <w:sz w:val="22"/>
          <w:szCs w:val="22"/>
          <w:rtl/>
        </w:rPr>
        <w:t xml:space="preserve">הגבלת נתרן (בדרך כלל &lt;2 גרם/יום), הגבלת נוזלים לפי הוראה, שקילה יומית עצמית בבית ודיווח על עלייה חריגה, היענות תרופתית, זיהוי סימני החמרה מוקדמים.</w:t>
      </w:r>
    </w:p>
    <w:p>
      <w:pPr>
        <w:bidi/>
        <w:spacing w:after="140"/>
        <w:jc w:val="right"/>
      </w:pPr>
      <w:r>
        <w:rPr>
          <w:rFonts w:ascii="David" w:cs="David" w:eastAsia="David" w:hAnsi="David"/>
          <w:b/>
          <w:bCs/>
          <w:sz w:val="22"/>
          <w:szCs w:val="22"/>
          <w:rtl/>
        </w:rPr>
        <w:t xml:space="preserve">10. תוצאות מצופות </w:t>
      </w:r>
      <w:r>
        <w:rPr>
          <w:rFonts w:ascii="David" w:cs="David" w:eastAsia="David" w:hAnsi="David"/>
          <w:sz w:val="22"/>
          <w:szCs w:val="22"/>
          <w:rtl/>
        </w:rPr>
        <w:t xml:space="preserve">שליטה במאזן הנוזלים, הפחתת תסמיני גודש, שיפור סבילות למאמץ, הפחתת אשפוזים חוזרים.</w:t>
      </w:r>
    </w:p>
    <w:p>
      <w:pPr>
        <w:bidi/>
        <w:spacing w:after="140"/>
        <w:jc w:val="right"/>
      </w:pPr>
      <w:r>
        <w:rPr>
          <w:rFonts w:ascii="David" w:cs="David" w:eastAsia="David" w:hAnsi="David"/>
          <w:b/>
          <w:bCs/>
          <w:sz w:val="22"/>
          <w:szCs w:val="22"/>
          <w:rtl/>
        </w:rPr>
        <w:t xml:space="preserve">11. השוואה </w:t>
      </w:r>
      <w:r>
        <w:rPr>
          <w:rFonts w:ascii="David" w:cs="David" w:eastAsia="David" w:hAnsi="David"/>
          <w:sz w:val="22"/>
          <w:szCs w:val="22"/>
          <w:rtl/>
        </w:rPr>
        <w:t xml:space="preserve">אי-ספיקת שמאל — גודש ריאתי (דיספניאה, אורתופניאה). אי-ספיקת ימין — גודש סיסטמי (בצקות, הפטומגליה, JVD).</w:t>
      </w:r>
    </w:p>
    <w:p>
      <w:pPr>
        <w:pStyle w:val="Heading3"/>
        <w:bidi/>
        <w:spacing w:after="100" w:before="200"/>
        <w:jc w:val="right"/>
      </w:pPr>
      <w:r>
        <w:rPr>
          <w:rFonts w:ascii="David" w:cs="David" w:eastAsia="David" w:hAnsi="David"/>
          <w:b/>
          <w:bCs/>
          <w:color w:val="1F4E79"/>
          <w:sz w:val="24"/>
          <w:szCs w:val="24"/>
          <w:rtl/>
        </w:rPr>
        <w:t xml:space="preserve">רמה 2 — ביניים</w:t>
      </w:r>
    </w:p>
    <w:p>
      <w:pPr>
        <w:bidi/>
        <w:spacing w:after="140"/>
        <w:jc w:val="right"/>
      </w:pPr>
      <w:r>
        <w:rPr>
          <w:rFonts w:ascii="David" w:cs="David" w:eastAsia="David" w:hAnsi="David"/>
          <w:b/>
          <w:bCs/>
          <w:sz w:val="22"/>
          <w:szCs w:val="22"/>
          <w:rtl/>
        </w:rPr>
        <w:t xml:space="preserve">1. הגדרה ואטיולוגיה </w:t>
      </w:r>
      <w:r>
        <w:rPr>
          <w:rFonts w:ascii="David" w:cs="David" w:eastAsia="David" w:hAnsi="David"/>
          <w:sz w:val="22"/>
          <w:szCs w:val="22"/>
          <w:rtl/>
        </w:rPr>
        <w:t xml:space="preserve">מצב בו הלב אינו מסוגל לשאוב דם מספיק לצרכי הגוף.</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אי-ספיקת חדר שמאל (סיסטולית — ירידה בכיווץ;</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קרדיווסקולרית, נשימתית (גודש ריאתי), כלייתית (ירידה בפרפוזיה כלייתית והפעלת RAAS), כבדית (גודש בכשל ימני).</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אי-ספיקת שמאל: דיספניאה במאמץ ואורתופניאה, PND (התעוררות לילית עם קוצר נשימה), Crackles בהאזנה, שיעול עם ליחה ורודה-קצפית.</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BNP/NT-proBNP מוגבר (סמן ביוכימי מרכזי), אקו לב — מדד שבר פליטה (EF) המבחין בין HFrEF (EF מופחת) ל-HFpEF (EF שמור), צילום חזה (גודש ריאתי, קרדיומגליה), משקל יומי כמדד למעקב נוזלים.</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בצקת ריאות חריפה, הלם קרדיוגני, הפרעות קצב, פגיעה כלייתית (Cardiorenal Syndrome), תמותה.</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משתנים (הפחתת עומס נפח), מעכבי ACE/ARB וחוסמי בטא (הפחתת עומס והאטת שיפוץ שרירי), אנטגוניסטים לאלדוסטרון, במקרים מתקדמים — מכשור תמיכה מכנית (LVAD) או השתלת לב.</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שקילה יומית באותם תנאים (עלייה &gt;1-1.5 ק"ג ביום מרמזת אצירת נוזלים), הגבלת נתרן ונוזלים, ניטור סימני גודש, מיצוב ראש מיטה מוגבה, מתן משתנים וניטור אלקטרוליטים (במיוחד אשלגן).</w:t>
      </w:r>
    </w:p>
    <w:p>
      <w:pPr>
        <w:bidi/>
        <w:spacing w:after="140"/>
        <w:jc w:val="right"/>
      </w:pPr>
      <w:r>
        <w:rPr>
          <w:rFonts w:ascii="David" w:cs="David" w:eastAsia="David" w:hAnsi="David"/>
          <w:b/>
          <w:bCs/>
          <w:sz w:val="22"/>
          <w:szCs w:val="22"/>
          <w:rtl/>
        </w:rPr>
        <w:t xml:space="preserve">9. תזונה/אורח חיים/חינוך </w:t>
      </w:r>
      <w:r>
        <w:rPr>
          <w:rFonts w:ascii="David" w:cs="David" w:eastAsia="David" w:hAnsi="David"/>
          <w:sz w:val="22"/>
          <w:szCs w:val="22"/>
          <w:rtl/>
        </w:rPr>
        <w:t xml:space="preserve">הגבלת נתרן (בדרך כלל &lt;2 גרם/יום), הגבלת נוזלים לפי הוראה, שקילה יומית עצמית בבית ודיווח על עלייה חריגה, היענות תרופתית, זיהוי סימני החמרה מוקדמים.</w:t>
      </w:r>
    </w:p>
    <w:p>
      <w:pPr>
        <w:bidi/>
        <w:spacing w:after="140"/>
        <w:jc w:val="right"/>
      </w:pPr>
      <w:r>
        <w:rPr>
          <w:rFonts w:ascii="David" w:cs="David" w:eastAsia="David" w:hAnsi="David"/>
          <w:b/>
          <w:bCs/>
          <w:sz w:val="22"/>
          <w:szCs w:val="22"/>
          <w:rtl/>
        </w:rPr>
        <w:t xml:space="preserve">10. תוצאות מצופות </w:t>
      </w:r>
      <w:r>
        <w:rPr>
          <w:rFonts w:ascii="David" w:cs="David" w:eastAsia="David" w:hAnsi="David"/>
          <w:sz w:val="22"/>
          <w:szCs w:val="22"/>
          <w:rtl/>
        </w:rPr>
        <w:t xml:space="preserve">שליטה במאזן הנוזלים, הפחתת תסמיני גודש, שיפור סבילות למאמץ, הפחתת אשפוזים חוזרים.</w:t>
      </w:r>
    </w:p>
    <w:p>
      <w:pPr>
        <w:bidi/>
        <w:spacing w:after="140"/>
        <w:jc w:val="right"/>
      </w:pPr>
      <w:r>
        <w:rPr>
          <w:rFonts w:ascii="David" w:cs="David" w:eastAsia="David" w:hAnsi="David"/>
          <w:b/>
          <w:bCs/>
          <w:sz w:val="22"/>
          <w:szCs w:val="22"/>
          <w:rtl/>
        </w:rPr>
        <w:t xml:space="preserve">11. השוואה </w:t>
      </w:r>
      <w:r>
        <w:rPr>
          <w:rFonts w:ascii="David" w:cs="David" w:eastAsia="David" w:hAnsi="David"/>
          <w:sz w:val="22"/>
          <w:szCs w:val="22"/>
          <w:rtl/>
        </w:rPr>
        <w:t xml:space="preserve">אי-ספיקת שמאל — גודש ריאתי (דיספניאה, אורתופניאה).</w:t>
      </w:r>
    </w:p>
    <w:p>
      <w:r>
        <w:br w:type="page"/>
      </w:r>
    </w:p>
    <w:p>
      <w:pPr>
        <w:pStyle w:val="Heading1"/>
        <w:bidi/>
        <w:jc w:val="right"/>
      </w:pPr>
      <w:r>
        <w:rPr>
          <w:rFonts w:ascii="David" w:cs="David" w:eastAsia="David" w:hAnsi="David"/>
          <w:rtl/>
        </w:rPr>
        <w:t xml:space="preserve">הפרעות קצב לב (Dysrhythmias)</w:t>
      </w:r>
    </w:p>
    <w:p>
      <w:pPr>
        <w:pStyle w:val="Heading3"/>
        <w:bidi/>
        <w:spacing w:after="100" w:before="200"/>
        <w:jc w:val="right"/>
      </w:pPr>
      <w:r>
        <w:rPr>
          <w:rFonts w:ascii="David" w:cs="David" w:eastAsia="David" w:hAnsi="David"/>
          <w:b/>
          <w:bCs/>
          <w:color w:val="1F4E79"/>
          <w:sz w:val="24"/>
          <w:szCs w:val="24"/>
          <w:rtl/>
        </w:rPr>
        <w:t xml:space="preserve">רמה 1 — מלא</w:t>
      </w:r>
    </w:p>
    <w:p>
      <w:pPr>
        <w:bidi/>
        <w:spacing w:after="140"/>
        <w:jc w:val="right"/>
      </w:pPr>
      <w:r>
        <w:rPr>
          <w:rFonts w:ascii="David" w:cs="David" w:eastAsia="David" w:hAnsi="David"/>
          <w:b/>
          <w:bCs/>
          <w:sz w:val="22"/>
          <w:szCs w:val="22"/>
          <w:rtl/>
        </w:rPr>
        <w:t xml:space="preserve">1. הגדרה ואטיולוגיה </w:t>
      </w:r>
      <w:r>
        <w:rPr>
          <w:rFonts w:ascii="David" w:cs="David" w:eastAsia="David" w:hAnsi="David"/>
          <w:sz w:val="22"/>
          <w:szCs w:val="22"/>
          <w:rtl/>
        </w:rPr>
        <w:t xml:space="preserve">חריגה מהקצב הסינוסי התקין של הלב, יכולה לנבוע ממחלת לב כלילית, חוסר איזון אלקטרוליטים, תרופות, מתח, הפרעות מבניות בלב.</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הפרעה ביצירת הדחף החשמלי (בקוצב הטבעי — צומת הסינוס) או בהולכתו דרך מערכת ההולכה של הלב (צומת AV, צרור היס, סיבי פורקינה).</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קרדיווסקולרית; הפרעות משמעותיות עלולות לפגוע בפרפוזיה מוחית ומערכתית.</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פרפור פרוזדורים (AF): קצב לא סדיר לחלוטין, דפיקות לב, סיכון מוגבר לשבץ מוחי עקב היווצרות פקקת בפרוזדור. טכיקרדיה חדרית (VT) ופרפור חדרים (VF): מצבי חירום מסכני חיים, עלולים לגרום לדום לב. ברדיקרדיה סימפטומטית: סחרחורת, סינקופה, עייפות.</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א.ק.ג 12 לידים לזיהוי סוג ההפרעה, מוניטור הולטר לניטור ממושך, אלקטרוליטים (במיוחד אשלגן ומגנזיום).</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AF — שבץ מוחי תסחיפי (מחייב הערכת סיכון באמצעות CHA2DS2-VASc והתאמת נוגד קרישה); VT/VF — דום לב פתאומי.</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תרופות אנטי-אריתמיות, היפוך קצב חשמלי (Cardioversion) מתוכנן ב-AF, דפיברילציה מיידית ב-VF/VT חסר דופק, קוצב לב קבוע בברדיקרדיה סימפטומטית, קוצב-דפיברילטור מושתל (ICD) בסיכון גבוה ל-VT/VF, אבלציה בצנתר.</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ניטור קצב לב רציף בחולים בסיכון, זיהוי מהיר של הפרעות מסכנות חיים והפעלת פרוטוקול החייאה/דפיברילציה בעת הצורך, מתן תרופות אנטי-אריתמיות וניטור תופעות לוואי.</w:t>
      </w:r>
    </w:p>
    <w:p>
      <w:pPr>
        <w:bidi/>
        <w:spacing w:after="140"/>
        <w:jc w:val="right"/>
      </w:pPr>
      <w:r>
        <w:rPr>
          <w:rFonts w:ascii="David" w:cs="David" w:eastAsia="David" w:hAnsi="David"/>
          <w:b/>
          <w:bCs/>
          <w:sz w:val="22"/>
          <w:szCs w:val="22"/>
          <w:rtl/>
        </w:rPr>
        <w:t xml:space="preserve">9-10. חינוך ותוצאות מצופות </w:t>
      </w:r>
      <w:r>
        <w:rPr>
          <w:rFonts w:ascii="David" w:cs="David" w:eastAsia="David" w:hAnsi="David"/>
          <w:sz w:val="22"/>
          <w:szCs w:val="22"/>
          <w:rtl/>
        </w:rPr>
        <w:t xml:space="preserve">חינוך על היענות לטיפול נוגד קרישה ב-AF ומעקב INR (בוורפרין); מטרה — שליטה בקצב/תדירות, מניעת תסחיף, יציבות המודינמית.</w:t>
      </w:r>
    </w:p>
    <w:p>
      <w:pPr>
        <w:pStyle w:val="Heading3"/>
        <w:bidi/>
        <w:spacing w:after="100" w:before="200"/>
        <w:jc w:val="right"/>
      </w:pPr>
      <w:r>
        <w:rPr>
          <w:rFonts w:ascii="David" w:cs="David" w:eastAsia="David" w:hAnsi="David"/>
          <w:b/>
          <w:bCs/>
          <w:color w:val="1F4E79"/>
          <w:sz w:val="24"/>
          <w:szCs w:val="24"/>
          <w:rtl/>
        </w:rPr>
        <w:t xml:space="preserve">רמה 2 — ביניים</w:t>
      </w:r>
    </w:p>
    <w:p>
      <w:pPr>
        <w:bidi/>
        <w:spacing w:after="140"/>
        <w:jc w:val="right"/>
      </w:pPr>
      <w:r>
        <w:rPr>
          <w:rFonts w:ascii="David" w:cs="David" w:eastAsia="David" w:hAnsi="David"/>
          <w:b/>
          <w:bCs/>
          <w:sz w:val="22"/>
          <w:szCs w:val="22"/>
          <w:rtl/>
        </w:rPr>
        <w:t xml:space="preserve">1. הגדרה ואטיולוגיה </w:t>
      </w:r>
      <w:r>
        <w:rPr>
          <w:rFonts w:ascii="David" w:cs="David" w:eastAsia="David" w:hAnsi="David"/>
          <w:sz w:val="22"/>
          <w:szCs w:val="22"/>
          <w:rtl/>
        </w:rPr>
        <w:t xml:space="preserve">חריגה מהקצב הסינוסי התקין של הלב, יכולה לנבוע ממחלת לב כלילית, חוסר איזון אלקטרוליטים, תרופות, מתח, הפרעות מבניות בלב.</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הפרעה ביצירת הדחף החשמלי (בקוצב הטבעי — צומת הסינוס) או בהולכתו דרך מערכת ההולכה של הלב (צומת AV, צרור היס, סיבי פורקינה).</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קרדיווסקולרית;</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פרפור פרוזדורים (AF): קצב לא סדיר לחלוטין, דפיקות לב, סיכון מוגבר לשבץ מוחי עקב היווצרות פקקת בפרוזדור.</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א.ק.ג 12 לידים לזיהוי סוג ההפרעה, מוניטור הולטר לניטור ממושך, אלקטרוליטים (במיוחד אשלגן ומגנזיום).</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AF — שבץ מוחי תסחיפי (מחייב הערכת סיכון באמצעות CHA2DS2-VASc והתאמת נוגד קרישה);</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תרופות אנטי-אריתמיות, היפוך קצב חשמלי (Cardioversion) מתוכנן ב-AF, דפיברילציה מיידית ב-VF/VT חסר דופק, קוצב לב קבוע בברדיקרדיה סימפטומטית, קוצב-דפיברילטור מושתל (ICD) בסיכון גבוה ל-VT/VF, אבלציה בצנתר.</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ניטור קצב לב רציף בחולים בסיכון, זיהוי מהיר של הפרעות מסכנות חיים והפעלת פרוטוקול החייאה/דפיברילציה בעת הצורך, מתן תרופות אנטי-אריתמיות וניטור תופעות לוואי.</w:t>
      </w:r>
    </w:p>
    <w:p>
      <w:pPr>
        <w:bidi/>
        <w:spacing w:after="140"/>
        <w:jc w:val="right"/>
      </w:pPr>
      <w:r>
        <w:rPr>
          <w:rFonts w:ascii="David" w:cs="David" w:eastAsia="David" w:hAnsi="David"/>
          <w:b/>
          <w:bCs/>
          <w:sz w:val="22"/>
          <w:szCs w:val="22"/>
          <w:rtl/>
        </w:rPr>
        <w:t xml:space="preserve">9-10. חינוך ותוצאות מצופות </w:t>
      </w:r>
      <w:r>
        <w:rPr>
          <w:rFonts w:ascii="David" w:cs="David" w:eastAsia="David" w:hAnsi="David"/>
          <w:sz w:val="22"/>
          <w:szCs w:val="22"/>
          <w:rtl/>
        </w:rPr>
        <w:t xml:space="preserve">חינוך על היענות לטיפול נוגד קרישה ב-AF ומעקב INR (בוורפרין);</w:t>
      </w:r>
    </w:p>
    <w:p>
      <w:r>
        <w:br w:type="page"/>
      </w:r>
    </w:p>
    <w:p>
      <w:pPr>
        <w:pStyle w:val="Heading1"/>
        <w:bidi/>
        <w:jc w:val="right"/>
      </w:pPr>
      <w:r>
        <w:rPr>
          <w:rFonts w:ascii="David" w:cs="David" w:eastAsia="David" w:hAnsi="David"/>
          <w:rtl/>
        </w:rPr>
        <w:t xml:space="preserve">מחלות מסתמי הלב (Valvular Heart Disease)</w:t>
      </w:r>
    </w:p>
    <w:p>
      <w:pPr>
        <w:pStyle w:val="Heading3"/>
        <w:bidi/>
        <w:spacing w:after="100" w:before="200"/>
        <w:jc w:val="right"/>
      </w:pPr>
      <w:r>
        <w:rPr>
          <w:rFonts w:ascii="David" w:cs="David" w:eastAsia="David" w:hAnsi="David"/>
          <w:b/>
          <w:bCs/>
          <w:color w:val="1F4E79"/>
          <w:sz w:val="24"/>
          <w:szCs w:val="24"/>
          <w:rtl/>
        </w:rPr>
        <w:t xml:space="preserve">רמה 1 — מלא</w:t>
      </w:r>
    </w:p>
    <w:p>
      <w:pPr>
        <w:bidi/>
        <w:spacing w:after="140"/>
        <w:jc w:val="right"/>
      </w:pPr>
      <w:r>
        <w:rPr>
          <w:rFonts w:ascii="David" w:cs="David" w:eastAsia="David" w:hAnsi="David"/>
          <w:b/>
          <w:bCs/>
          <w:sz w:val="22"/>
          <w:szCs w:val="22"/>
          <w:rtl/>
        </w:rPr>
        <w:t xml:space="preserve">1. הגדרה ואטיולוגיה </w:t>
      </w:r>
      <w:r>
        <w:rPr>
          <w:rFonts w:ascii="David" w:cs="David" w:eastAsia="David" w:hAnsi="David"/>
          <w:sz w:val="22"/>
          <w:szCs w:val="22"/>
          <w:rtl/>
        </w:rPr>
        <w:t xml:space="preserve">פגיעה מבנית במסתמי הלב הגורמת להיצרות (Stenosis — חסימת זרימה) או אי-ספיקה (Regurgitation — דליפה לאחור). גורמים: תהליך ניווני-גילי (בעיקר מסתם אאורטלי), קדחת שגרונית קודמת, אנדוקרדיטיס זיהומית, מחלה מולדת.</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היצרות מסתם יוצרת עומס לחץ על החדר שמאחוריה (למשל חדר שמאל בהיצרות אאורטלית) ← היפרטרופיה מפצה. אי-ספיקת מסתם יוצרת עומס נפח (זרימה חוזרת) ← התרחבות החדר בהדרגה.</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קרדיווסקולרית; התקדמות ללא טיפול מובילה לאי-ספיקת לב וגודש ריאתי.</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אוושה לבבית אופיינית באיפיון האזנה (מיקום, עיתוי בסיסטולה/דיאסטולה, הקרנה), דיספניאה במאמץ, עייפות, בהיצרות אאורטלית חמורה — תעוקה/סינקופה/דיספניאה (Triad קלאסית).</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אקו לב עם דופלר — בדיקת הבחירה להערכת חומרת ההיצרות/אי-ספיקה ותפקוד החדר; א.ק.ג; צילום חזה (הגדלת חללי לב).</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אי-ספיקת לב, פרפור פרוזדורים (בעיקר בהיצרות מיטרלית), אנדוקרדיטיס זיהומית, מוות פתאומי בהיצרות אאורטלית חמורה סימפטומטית.</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מעקב תקופתי במחלה קלה-בינונית; החלפת/תיקון מסתם כירורגי או צנתורי (TAVR — להחלפת מסתם אאורטלי בגישה צנתורית) במחלה חמורה סימפטומטית; מניעת אנדוקרדיטיס באמצעות אנטיביוטיקה פרופילקטית בהליכים פולשניים נבחרים.</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הערכת סבילות למאמץ וסימני אי-ספיקת לב, הכנת המטופל לפרוצדורה כירורגית/צנתורית, מעקב פוסט-ניתוחי לאחר החלפת מסתם.</w:t>
      </w:r>
    </w:p>
    <w:p>
      <w:pPr>
        <w:bidi/>
        <w:spacing w:after="140"/>
        <w:jc w:val="right"/>
      </w:pPr>
      <w:r>
        <w:rPr>
          <w:rFonts w:ascii="David" w:cs="David" w:eastAsia="David" w:hAnsi="David"/>
          <w:b/>
          <w:bCs/>
          <w:sz w:val="22"/>
          <w:szCs w:val="22"/>
          <w:rtl/>
        </w:rPr>
        <w:t xml:space="preserve">9-10. חינוך ותוצאות מצופות </w:t>
      </w:r>
      <w:r>
        <w:rPr>
          <w:rFonts w:ascii="David" w:cs="David" w:eastAsia="David" w:hAnsi="David"/>
          <w:sz w:val="22"/>
          <w:szCs w:val="22"/>
          <w:rtl/>
        </w:rPr>
        <w:t xml:space="preserve">חינוך על סימני אזהרה לאנדוקרדיטיס (חום ממושך) לאחר החלפת מסתם; מטרה — שיפור תפקוד המודינמי ואיכות חיים, מניעת סיבוכים.</w:t>
      </w:r>
    </w:p>
    <w:p>
      <w:pPr>
        <w:pStyle w:val="Heading3"/>
        <w:bidi/>
        <w:spacing w:after="100" w:before="200"/>
        <w:jc w:val="right"/>
      </w:pPr>
      <w:r>
        <w:rPr>
          <w:rFonts w:ascii="David" w:cs="David" w:eastAsia="David" w:hAnsi="David"/>
          <w:b/>
          <w:bCs/>
          <w:color w:val="1F4E79"/>
          <w:sz w:val="24"/>
          <w:szCs w:val="24"/>
          <w:rtl/>
        </w:rPr>
        <w:t xml:space="preserve">רמה 2 — ביניים</w:t>
      </w:r>
    </w:p>
    <w:p>
      <w:pPr>
        <w:bidi/>
        <w:spacing w:after="140"/>
        <w:jc w:val="right"/>
      </w:pPr>
      <w:r>
        <w:rPr>
          <w:rFonts w:ascii="David" w:cs="David" w:eastAsia="David" w:hAnsi="David"/>
          <w:b/>
          <w:bCs/>
          <w:sz w:val="22"/>
          <w:szCs w:val="22"/>
          <w:rtl/>
        </w:rPr>
        <w:t xml:space="preserve">1. הגדרה ואטיולוגיה </w:t>
      </w:r>
      <w:r>
        <w:rPr>
          <w:rFonts w:ascii="David" w:cs="David" w:eastAsia="David" w:hAnsi="David"/>
          <w:sz w:val="22"/>
          <w:szCs w:val="22"/>
          <w:rtl/>
        </w:rPr>
        <w:t xml:space="preserve">פגיעה מבנית במסתמי הלב הגורמת להיצרות (Stenosis — חסימת זרימה) או אי-ספיקה (Regurgitation — דליפה לאחור).</w:t>
      </w:r>
    </w:p>
    <w:p>
      <w:pPr>
        <w:bidi/>
        <w:spacing w:after="140"/>
        <w:jc w:val="right"/>
      </w:pPr>
      <w:r>
        <w:rPr>
          <w:rFonts w:ascii="David" w:cs="David" w:eastAsia="David" w:hAnsi="David"/>
          <w:b/>
          <w:bCs/>
          <w:sz w:val="22"/>
          <w:szCs w:val="22"/>
          <w:rtl/>
        </w:rPr>
        <w:t xml:space="preserve">2. פתופיזיולוגיה </w:t>
      </w:r>
      <w:r>
        <w:rPr>
          <w:rFonts w:ascii="David" w:cs="David" w:eastAsia="David" w:hAnsi="David"/>
          <w:sz w:val="22"/>
          <w:szCs w:val="22"/>
          <w:rtl/>
        </w:rPr>
        <w:t xml:space="preserve">היצרות מסתם יוצרת עומס לחץ על החדר שמאחוריה (למשל חדר שמאל בהיצרות אאורטלית) ← היפרטרופיה מפצה.</w:t>
      </w:r>
    </w:p>
    <w:p>
      <w:pPr>
        <w:bidi/>
        <w:spacing w:after="140"/>
        <w:jc w:val="right"/>
      </w:pPr>
      <w:r>
        <w:rPr>
          <w:rFonts w:ascii="David" w:cs="David" w:eastAsia="David" w:hAnsi="David"/>
          <w:b/>
          <w:bCs/>
          <w:sz w:val="22"/>
          <w:szCs w:val="22"/>
          <w:rtl/>
        </w:rPr>
        <w:t xml:space="preserve">3. מערכות מעורבות </w:t>
      </w:r>
      <w:r>
        <w:rPr>
          <w:rFonts w:ascii="David" w:cs="David" w:eastAsia="David" w:hAnsi="David"/>
          <w:sz w:val="22"/>
          <w:szCs w:val="22"/>
          <w:rtl/>
        </w:rPr>
        <w:t xml:space="preserve">קרדיווסקולרית;</w:t>
      </w:r>
    </w:p>
    <w:p>
      <w:pPr>
        <w:bidi/>
        <w:spacing w:after="140"/>
        <w:jc w:val="right"/>
      </w:pPr>
      <w:r>
        <w:rPr>
          <w:rFonts w:ascii="David" w:cs="David" w:eastAsia="David" w:hAnsi="David"/>
          <w:b/>
          <w:bCs/>
          <w:sz w:val="22"/>
          <w:szCs w:val="22"/>
          <w:rtl/>
        </w:rPr>
        <w:t xml:space="preserve">4. ביטויים קליניים </w:t>
      </w:r>
      <w:r>
        <w:rPr>
          <w:rFonts w:ascii="David" w:cs="David" w:eastAsia="David" w:hAnsi="David"/>
          <w:sz w:val="22"/>
          <w:szCs w:val="22"/>
          <w:rtl/>
        </w:rPr>
        <w:t xml:space="preserve">אוושה לבבית אופיינית באיפיון האזנה (מיקום, עיתוי בסיסטולה/דיאסטולה, הקרנה), דיספניאה במאמץ, עייפות, בהיצרות אאורטלית חמורה — תעוקה/סינקופה/דיספניאה (Triad קלאסית).</w:t>
      </w:r>
    </w:p>
    <w:p>
      <w:pPr>
        <w:bidi/>
        <w:spacing w:after="140"/>
        <w:jc w:val="right"/>
      </w:pPr>
      <w:r>
        <w:rPr>
          <w:rFonts w:ascii="David" w:cs="David" w:eastAsia="David" w:hAnsi="David"/>
          <w:b/>
          <w:bCs/>
          <w:sz w:val="22"/>
          <w:szCs w:val="22"/>
          <w:rtl/>
        </w:rPr>
        <w:t xml:space="preserve">5. הערכה ואבחון </w:t>
      </w:r>
      <w:r>
        <w:rPr>
          <w:rFonts w:ascii="David" w:cs="David" w:eastAsia="David" w:hAnsi="David"/>
          <w:sz w:val="22"/>
          <w:szCs w:val="22"/>
          <w:rtl/>
        </w:rPr>
        <w:t xml:space="preserve">אקו לב עם דופלר — בדיקת הבחירה להערכת חומרת ההיצרות/אי-ספיקה ותפקוד החדר;</w:t>
      </w:r>
    </w:p>
    <w:p>
      <w:pPr>
        <w:bidi/>
        <w:spacing w:after="140"/>
        <w:jc w:val="right"/>
      </w:pPr>
      <w:r>
        <w:rPr>
          <w:rFonts w:ascii="David" w:cs="David" w:eastAsia="David" w:hAnsi="David"/>
          <w:b/>
          <w:bCs/>
          <w:sz w:val="22"/>
          <w:szCs w:val="22"/>
          <w:rtl/>
        </w:rPr>
        <w:t xml:space="preserve">6. סיבוכים </w:t>
      </w:r>
      <w:r>
        <w:rPr>
          <w:rFonts w:ascii="David" w:cs="David" w:eastAsia="David" w:hAnsi="David"/>
          <w:sz w:val="22"/>
          <w:szCs w:val="22"/>
          <w:rtl/>
        </w:rPr>
        <w:t xml:space="preserve">אי-ספיקת לב, פרפור פרוזדורים (בעיקר בהיצרות מיטרלית), אנדוקרדיטיס זיהומית, מוות פתאומי בהיצרות אאורטלית חמורה סימפטומטית.</w:t>
      </w:r>
    </w:p>
    <w:p>
      <w:pPr>
        <w:bidi/>
        <w:spacing w:after="140"/>
        <w:jc w:val="right"/>
      </w:pPr>
      <w:r>
        <w:rPr>
          <w:rFonts w:ascii="David" w:cs="David" w:eastAsia="David" w:hAnsi="David"/>
          <w:b/>
          <w:bCs/>
          <w:sz w:val="22"/>
          <w:szCs w:val="22"/>
          <w:rtl/>
        </w:rPr>
        <w:t xml:space="preserve">7. טיפול רפואי </w:t>
      </w:r>
      <w:r>
        <w:rPr>
          <w:rFonts w:ascii="David" w:cs="David" w:eastAsia="David" w:hAnsi="David"/>
          <w:sz w:val="22"/>
          <w:szCs w:val="22"/>
          <w:rtl/>
        </w:rPr>
        <w:t xml:space="preserve">מעקב תקופתי במחלה קלה-בינונית;</w:t>
      </w:r>
    </w:p>
    <w:p>
      <w:pPr>
        <w:bidi/>
        <w:spacing w:after="140"/>
        <w:jc w:val="right"/>
      </w:pPr>
      <w:r>
        <w:rPr>
          <w:rFonts w:ascii="David" w:cs="David" w:eastAsia="David" w:hAnsi="David"/>
          <w:b/>
          <w:bCs/>
          <w:sz w:val="22"/>
          <w:szCs w:val="22"/>
          <w:rtl/>
        </w:rPr>
        <w:t xml:space="preserve">8. תהליך סיעודי </w:t>
      </w:r>
      <w:r>
        <w:rPr>
          <w:rFonts w:ascii="David" w:cs="David" w:eastAsia="David" w:hAnsi="David"/>
          <w:sz w:val="22"/>
          <w:szCs w:val="22"/>
          <w:rtl/>
        </w:rPr>
        <w:t xml:space="preserve">הערכת סבילות למאמץ וסימני אי-ספיקת לב, הכנת המטופל לפרוצדורה כירורגית/צנתורית, מעקב פוסט-ניתוחי לאחר החלפת מסתם.</w:t>
      </w:r>
    </w:p>
    <w:p>
      <w:pPr>
        <w:bidi/>
        <w:spacing w:after="140"/>
        <w:jc w:val="right"/>
      </w:pPr>
      <w:r>
        <w:rPr>
          <w:rFonts w:ascii="David" w:cs="David" w:eastAsia="David" w:hAnsi="David"/>
          <w:b/>
          <w:bCs/>
          <w:sz w:val="22"/>
          <w:szCs w:val="22"/>
          <w:rtl/>
        </w:rPr>
        <w:t xml:space="preserve">9-10. חינוך ותוצאות מצופות </w:t>
      </w:r>
      <w:r>
        <w:rPr>
          <w:rFonts w:ascii="David" w:cs="David" w:eastAsia="David" w:hAnsi="David"/>
          <w:sz w:val="22"/>
          <w:szCs w:val="22"/>
          <w:rtl/>
        </w:rPr>
        <w:t xml:space="preserve">חינוך על סימני אזהרה לאנדוקרדיטיס (חום ממושך) לאחר החלפת מסתם;</w:t>
      </w:r>
    </w:p>
    <w:p>
      <w:r>
        <w:br w:type="page"/>
      </w:r>
    </w:p>
    <w:p>
      <w:pPr>
        <w:pStyle w:val="Heading1"/>
        <w:bidi/>
        <w:jc w:val="right"/>
      </w:pPr>
      <w:r>
        <w:rPr>
          <w:rFonts w:ascii="David" w:cs="David" w:eastAsia="David" w:hAnsi="David"/>
          <w:rtl/>
        </w:rPr>
        <w:t xml:space="preserve">רמה 3 — מקוצר: טבלת השוואה — אי-ספיקת לב שמאלית לעומת ימנית</w:t>
      </w:r>
    </w:p>
    <w:p>
      <w:pPr>
        <w:spacing w:after="200"/>
      </w:pP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4E79" w:val="clear"/>
          </w:tcPr>
          <w:p>
            <w:pPr>
              <w:bidi/>
              <w:jc w:val="right"/>
            </w:pPr>
            <w:r>
              <w:rPr>
                <w:rFonts w:ascii="David" w:cs="David" w:eastAsia="David" w:hAnsi="David"/>
                <w:b/>
                <w:bCs/>
                <w:color w:val="FFFFFF"/>
                <w:sz w:val="20"/>
                <w:szCs w:val="20"/>
                <w:rtl/>
              </w:rPr>
              <w:t xml:space="preserve">מאפיין</w:t>
            </w:r>
          </w:p>
        </w:tc>
        <w:tc>
          <w:tcPr>
            <w:tcW w:type="dxa" w:w="3000"/>
            <w:shd w:fill="1F4E79" w:val="clear"/>
          </w:tcPr>
          <w:p>
            <w:pPr>
              <w:bidi/>
              <w:jc w:val="right"/>
            </w:pPr>
            <w:r>
              <w:rPr>
                <w:rFonts w:ascii="David" w:cs="David" w:eastAsia="David" w:hAnsi="David"/>
                <w:b/>
                <w:bCs/>
                <w:color w:val="FFFFFF"/>
                <w:sz w:val="20"/>
                <w:szCs w:val="20"/>
                <w:rtl/>
              </w:rPr>
              <w:t xml:space="preserve">אי-ספיקת חדר שמאל</w:t>
            </w:r>
          </w:p>
        </w:tc>
        <w:tc>
          <w:tcPr>
            <w:tcW w:type="dxa" w:w="3000"/>
            <w:shd w:fill="1F4E79" w:val="clear"/>
          </w:tcPr>
          <w:p>
            <w:pPr>
              <w:bidi/>
              <w:jc w:val="right"/>
            </w:pPr>
            <w:r>
              <w:rPr>
                <w:rFonts w:ascii="David" w:cs="David" w:eastAsia="David" w:hAnsi="David"/>
                <w:b/>
                <w:bCs/>
                <w:color w:val="FFFFFF"/>
                <w:sz w:val="20"/>
                <w:szCs w:val="20"/>
                <w:rtl/>
              </w:rPr>
              <w:t xml:space="preserve">אי-ספיקת חדר ימין</w:t>
            </w:r>
          </w:p>
        </w:tc>
      </w:tr>
      <w:tr>
        <w:tc>
          <w:tcPr>
            <w:tcW w:type="dxa" w:w="3000"/>
            <w:shd w:fill="F2F2F2" w:val="clear"/>
          </w:tcPr>
          <w:p>
            <w:pPr>
              <w:bidi/>
              <w:jc w:val="right"/>
            </w:pPr>
            <w:r>
              <w:rPr>
                <w:rFonts w:ascii="David" w:cs="David" w:eastAsia="David" w:hAnsi="David"/>
                <w:sz w:val="20"/>
                <w:szCs w:val="20"/>
                <w:rtl/>
              </w:rPr>
              <w:t xml:space="preserve">גודש עיקרי</w:t>
            </w:r>
          </w:p>
        </w:tc>
        <w:tc>
          <w:tcPr>
            <w:tcW w:type="dxa" w:w="3000"/>
            <w:shd w:fill="F2F2F2" w:val="clear"/>
          </w:tcPr>
          <w:p>
            <w:pPr>
              <w:bidi/>
              <w:jc w:val="right"/>
            </w:pPr>
            <w:r>
              <w:rPr>
                <w:rFonts w:ascii="David" w:cs="David" w:eastAsia="David" w:hAnsi="David"/>
                <w:sz w:val="20"/>
                <w:szCs w:val="20"/>
                <w:rtl/>
              </w:rPr>
              <w:t xml:space="preserve">ריאתי (ורידי-ריאתי)</w:t>
            </w:r>
          </w:p>
        </w:tc>
        <w:tc>
          <w:tcPr>
            <w:tcW w:type="dxa" w:w="3000"/>
            <w:shd w:fill="F2F2F2" w:val="clear"/>
          </w:tcPr>
          <w:p>
            <w:pPr>
              <w:bidi/>
              <w:jc w:val="right"/>
            </w:pPr>
            <w:r>
              <w:rPr>
                <w:rFonts w:ascii="David" w:cs="David" w:eastAsia="David" w:hAnsi="David"/>
                <w:sz w:val="20"/>
                <w:szCs w:val="20"/>
                <w:rtl/>
              </w:rPr>
              <w:t xml:space="preserve">סיסטמי (ורידי היקפי)</w:t>
            </w:r>
          </w:p>
        </w:tc>
      </w:tr>
      <w:tr>
        <w:tc>
          <w:tcPr>
            <w:tcW w:type="dxa" w:w="3000"/>
            <w:shd w:fill="FFFFFF" w:val="clear"/>
          </w:tcPr>
          <w:p>
            <w:pPr>
              <w:bidi/>
              <w:jc w:val="right"/>
            </w:pPr>
            <w:r>
              <w:rPr>
                <w:rFonts w:ascii="David" w:cs="David" w:eastAsia="David" w:hAnsi="David"/>
                <w:sz w:val="20"/>
                <w:szCs w:val="20"/>
                <w:rtl/>
              </w:rPr>
              <w:t xml:space="preserve">תסמינים נשימתיים</w:t>
            </w:r>
          </w:p>
        </w:tc>
        <w:tc>
          <w:tcPr>
            <w:tcW w:type="dxa" w:w="3000"/>
            <w:shd w:fill="FFFFFF" w:val="clear"/>
          </w:tcPr>
          <w:p>
            <w:pPr>
              <w:bidi/>
              <w:jc w:val="right"/>
            </w:pPr>
            <w:r>
              <w:rPr>
                <w:rFonts w:ascii="David" w:cs="David" w:eastAsia="David" w:hAnsi="David"/>
                <w:sz w:val="20"/>
                <w:szCs w:val="20"/>
                <w:rtl/>
              </w:rPr>
              <w:t xml:space="preserve">דיספניאה, אורתופניאה, PND</w:t>
            </w:r>
          </w:p>
        </w:tc>
        <w:tc>
          <w:tcPr>
            <w:tcW w:type="dxa" w:w="3000"/>
            <w:shd w:fill="FFFFFF" w:val="clear"/>
          </w:tcPr>
          <w:p>
            <w:pPr>
              <w:bidi/>
              <w:jc w:val="right"/>
            </w:pPr>
            <w:r>
              <w:rPr>
                <w:rFonts w:ascii="David" w:cs="David" w:eastAsia="David" w:hAnsi="David"/>
                <w:sz w:val="20"/>
                <w:szCs w:val="20"/>
                <w:rtl/>
              </w:rPr>
              <w:t xml:space="preserve">פחות בולט</w:t>
            </w:r>
          </w:p>
        </w:tc>
      </w:tr>
      <w:tr>
        <w:tc>
          <w:tcPr>
            <w:tcW w:type="dxa" w:w="3000"/>
            <w:shd w:fill="F2F2F2" w:val="clear"/>
          </w:tcPr>
          <w:p>
            <w:pPr>
              <w:bidi/>
              <w:jc w:val="right"/>
            </w:pPr>
            <w:r>
              <w:rPr>
                <w:rFonts w:ascii="David" w:cs="David" w:eastAsia="David" w:hAnsi="David"/>
                <w:sz w:val="20"/>
                <w:szCs w:val="20"/>
                <w:rtl/>
              </w:rPr>
              <w:t xml:space="preserve">ממצא בהאזנה</w:t>
            </w:r>
          </w:p>
        </w:tc>
        <w:tc>
          <w:tcPr>
            <w:tcW w:type="dxa" w:w="3000"/>
            <w:shd w:fill="F2F2F2" w:val="clear"/>
          </w:tcPr>
          <w:p>
            <w:pPr>
              <w:bidi/>
              <w:jc w:val="right"/>
            </w:pPr>
            <w:r>
              <w:rPr>
                <w:rFonts w:ascii="David" w:cs="David" w:eastAsia="David" w:hAnsi="David"/>
                <w:sz w:val="20"/>
                <w:szCs w:val="20"/>
                <w:rtl/>
              </w:rPr>
              <w:t xml:space="preserve">Crackles בבסיסי הריאות</w:t>
            </w:r>
          </w:p>
        </w:tc>
        <w:tc>
          <w:tcPr>
            <w:tcW w:type="dxa" w:w="3000"/>
            <w:shd w:fill="F2F2F2" w:val="clear"/>
          </w:tcPr>
          <w:p>
            <w:pPr>
              <w:bidi/>
              <w:jc w:val="right"/>
            </w:pPr>
            <w:r>
              <w:rPr>
                <w:rFonts w:ascii="David" w:cs="David" w:eastAsia="David" w:hAnsi="David"/>
                <w:sz w:val="20"/>
                <w:szCs w:val="20"/>
                <w:rtl/>
              </w:rPr>
              <w:t xml:space="preserve">אינו רלוונטי ישירות</w:t>
            </w:r>
          </w:p>
        </w:tc>
      </w:tr>
      <w:tr>
        <w:tc>
          <w:tcPr>
            <w:tcW w:type="dxa" w:w="3000"/>
            <w:shd w:fill="FFFFFF" w:val="clear"/>
          </w:tcPr>
          <w:p>
            <w:pPr>
              <w:bidi/>
              <w:jc w:val="right"/>
            </w:pPr>
            <w:r>
              <w:rPr>
                <w:rFonts w:ascii="David" w:cs="David" w:eastAsia="David" w:hAnsi="David"/>
                <w:sz w:val="20"/>
                <w:szCs w:val="20"/>
                <w:rtl/>
              </w:rPr>
              <w:t xml:space="preserve">בצקות</w:t>
            </w:r>
          </w:p>
        </w:tc>
        <w:tc>
          <w:tcPr>
            <w:tcW w:type="dxa" w:w="3000"/>
            <w:shd w:fill="FFFFFF" w:val="clear"/>
          </w:tcPr>
          <w:p>
            <w:pPr>
              <w:bidi/>
              <w:jc w:val="right"/>
            </w:pPr>
            <w:r>
              <w:rPr>
                <w:rFonts w:ascii="David" w:cs="David" w:eastAsia="David" w:hAnsi="David"/>
                <w:sz w:val="20"/>
                <w:szCs w:val="20"/>
                <w:rtl/>
              </w:rPr>
              <w:t xml:space="preserve">פחות בולטות</w:t>
            </w:r>
          </w:p>
        </w:tc>
        <w:tc>
          <w:tcPr>
            <w:tcW w:type="dxa" w:w="3000"/>
            <w:shd w:fill="FFFFFF" w:val="clear"/>
          </w:tcPr>
          <w:p>
            <w:pPr>
              <w:bidi/>
              <w:jc w:val="right"/>
            </w:pPr>
            <w:r>
              <w:rPr>
                <w:rFonts w:ascii="David" w:cs="David" w:eastAsia="David" w:hAnsi="David"/>
                <w:sz w:val="20"/>
                <w:szCs w:val="20"/>
                <w:rtl/>
              </w:rPr>
              <w:t xml:space="preserve">בצקות גפיים תחתונות בולטות</w:t>
            </w:r>
          </w:p>
        </w:tc>
      </w:tr>
      <w:tr>
        <w:tc>
          <w:tcPr>
            <w:tcW w:type="dxa" w:w="3000"/>
            <w:shd w:fill="F2F2F2" w:val="clear"/>
          </w:tcPr>
          <w:p>
            <w:pPr>
              <w:bidi/>
              <w:jc w:val="right"/>
            </w:pPr>
            <w:r>
              <w:rPr>
                <w:rFonts w:ascii="David" w:cs="David" w:eastAsia="David" w:hAnsi="David"/>
                <w:sz w:val="20"/>
                <w:szCs w:val="20"/>
                <w:rtl/>
              </w:rPr>
              <w:t xml:space="preserve">ממצאים נוספים</w:t>
            </w:r>
          </w:p>
        </w:tc>
        <w:tc>
          <w:tcPr>
            <w:tcW w:type="dxa" w:w="3000"/>
            <w:shd w:fill="F2F2F2" w:val="clear"/>
          </w:tcPr>
          <w:p>
            <w:pPr>
              <w:bidi/>
              <w:jc w:val="right"/>
            </w:pPr>
            <w:r>
              <w:rPr>
                <w:rFonts w:ascii="David" w:cs="David" w:eastAsia="David" w:hAnsi="David"/>
                <w:sz w:val="20"/>
                <w:szCs w:val="20"/>
                <w:rtl/>
              </w:rPr>
              <w:t xml:space="preserve">שיעול עם ליחה ורודה-קצפית</w:t>
            </w:r>
          </w:p>
        </w:tc>
        <w:tc>
          <w:tcPr>
            <w:tcW w:type="dxa" w:w="3000"/>
            <w:shd w:fill="F2F2F2" w:val="clear"/>
          </w:tcPr>
          <w:p>
            <w:pPr>
              <w:bidi/>
              <w:jc w:val="right"/>
            </w:pPr>
            <w:r>
              <w:rPr>
                <w:rFonts w:ascii="David" w:cs="David" w:eastAsia="David" w:hAnsi="David"/>
                <w:sz w:val="20"/>
                <w:szCs w:val="20"/>
                <w:rtl/>
              </w:rPr>
              <w:t xml:space="preserve">JVD, הפטומגליה, מיימת</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rtl/>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2026-07-02T11:22:29.329Z</dcterms:created>
  <dcterms:modified xsi:type="dcterms:W3CDTF">2026-07-02T11:22:29.344Z</dcterms:modified>
</cp:coreProperties>
</file>

<file path=docProps/custom.xml><?xml version="1.0" encoding="utf-8"?>
<Properties xmlns="http://schemas.openxmlformats.org/officeDocument/2006/custom-properties" xmlns:vt="http://schemas.openxmlformats.org/officeDocument/2006/docPropsVTypes"/>
</file>