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before="2000"/>
        <w:jc w:val="center"/>
      </w:pPr>
      <w:r>
        <w:rPr>
          <w:rFonts w:ascii="David" w:cs="David" w:eastAsia="David" w:hAnsi="David"/>
          <w:b/>
          <w:bCs/>
          <w:sz w:val="40"/>
          <w:szCs w:val="40"/>
          <w:rtl/>
        </w:rPr>
        <w:t xml:space="preserve">פרקים 38-44 — מערכת העיכול</w:t>
      </w:r>
    </w:p>
    <w:p>
      <w:pPr>
        <w:bidi/>
        <w:spacing w:after="200"/>
        <w:jc w:val="center"/>
      </w:pPr>
      <w:r>
        <w:rPr>
          <w:rFonts w:ascii="David" w:cs="David" w:eastAsia="David" w:hAnsi="David"/>
          <w:i/>
          <w:iCs/>
          <w:sz w:val="26"/>
          <w:szCs w:val="26"/>
          <w:rtl/>
        </w:rPr>
        <w:t xml:space="preserve">סיכום קליני-סיעודי לפי מסגרת 11 הסעיפים</w:t>
      </w:r>
    </w:p>
    <w:p>
      <w:pPr>
        <w:bidi/>
        <w:jc w:val="center"/>
      </w:pPr>
      <w:r>
        <w:rPr>
          <w:rFonts w:ascii="David" w:cs="David" w:eastAsia="David" w:hAnsi="David"/>
          <w:color w:val="666666"/>
          <w:sz w:val="20"/>
          <w:szCs w:val="20"/>
          <w:rtl/>
        </w:rPr>
        <w:t xml:space="preserve">מבוסס על: Brunner &amp; Suddarth's Textbook of Medical-Surgical Nursing, 15th Edition, Chapters 38-44</w:t>
      </w:r>
    </w:p>
    <w:p>
      <w:r>
        <w:br w:type="page"/>
      </w:r>
    </w:p>
    <w:p>
      <w:pPr>
        <w:pStyle w:val="Heading1"/>
        <w:bidi/>
        <w:jc w:val="right"/>
      </w:pPr>
      <w:r>
        <w:rPr>
          <w:rFonts w:ascii="David" w:cs="David" w:eastAsia="David" w:hAnsi="David"/>
          <w:rtl/>
        </w:rPr>
        <w:t xml:space="preserve">מחלת ריפלוקס קיבתי-ושטי (GERD) ומחלת כיב פפטי (PUD)</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GERD — זרימה חוזרת של תוכן קיבה לוושט עקב תפקוד לקוי של הסוגר הוושטי התחתון. PUD — פגם ברירית הקיבה/תריסריון החודר מעבר לשכבת המוקוסה. גורמים ל-PUD: זיהום ב-Helicobacter pylori (הגורם השכיח ביותר), שימוש ב-NSAIDs, עישון, לחץ נפשי.</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GERD: היחלשות/הרפיה לא-תקינה של הסוגר הוושטי התחתון מאפשרת מגע חוזר של חומצת קיבה עם רירית הוושט הרגישה. PUD: חוסר איזון בין גורמים מגנים (ריר, ביקרבונט) לגורמים תוקפניים (חומצה, פפסין, H. pylori) → שחיקת הרירית.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מערכת העיכול העליונה (וושט, קיבה, תריסריון).</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GERD: צרבת (בעיקר לאחר ארוחות/בשכיבה), רגורגיטציה חומצית, כאב חזה לא-קרדיאלי, שיעול כרוני, צרידות. PUD: כאב אפיגסטרי צורב — בכיב תריסריון הכאב מוקל באכילה ומחמיר 2-3 שעות אחריה/בלילה; בכיב קיבתי הכאב מוחמר באכילה. בדימום — מלנה/המטמזיס.</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GERD: אבחנה קלינית בעיקרה; אנדוסקופיה עליונה (EGD) בתסמינים מתמשכים/סימני אזהרה; pH-מטריה 24 שעות. PUD: EGD לאישור ולביופסיה, בדיקת H. pylori (נשיפה, צואה, סרולוגיה, ביופסיה).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GERD: וושט בארט (שינוי טרום-ממאיר ברירית), היצרות וושט, שאיפה ריאתית כרונית. PUD: דימום GI (הסיבוך השכיח ביותר), ניקוב (Perforation — חירום כירורגי, בטן 'קרשית'), חסימת מוצא הקיבה.</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מעכבי משאבת פרוטונים (PPI) — קו ראשון לשני המצבים; טיפול משולש/רביעי לחיסול H. pylori (PPI + 2-3 אנטיביוטיקות) ב-PUD; הימנעות מ-NSAIDs; ניתוח (פונדופליקציה) ב-GERD עמיד לטיפול תרופתי.</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חינוך לשינויי אורח חיים (הרמת ראש מיטה, הימנעות ממזונות מעוררים, ארוחות קטנות), ניטור סימני דימום (בדיקת צואה, המוגלובין), זיהוי מיידי של סימני ניקוב (כאב בטן פתאומי וחד, בטן קשה) כחירום.</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הימנעות ממזונות מעוררי צרבת (שומניים, חריפים, קפאין, אלכוהול, שוקולד, מנטה), אי-שכיבה 2-3 שעות לאחר אכילה, הרמת ראש מיטה, הפסקת עישון, ירידה במשקל בהשמנה, השלמת מלוא קורס האנטיביוטיקה לחיסול H. pylori.</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הקלה בתסמינים, ריפוי הכיב/הרירית הפגועה, מניעת סיבוכים (דימום, ניקוב), אישור חיסול H. pylori.</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GERD — זרימה חוזרת של תוכן קיבה לוושט עקב תפקוד לקוי של הסוגר הוושטי התחתון.</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GERD: היחלשות/הרפיה לא-תקינה של הסוגר הוושטי התחתון מאפשרת מגע חוזר של חומצת קיבה עם רירית הוושט הרגישה.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מערכת העיכול העליונה (וושט, קיבה, תריסריון).</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GERD: צרבת (בעיקר לאחר ארוחות/בשכיבה), רגורגיטציה חומצית, כאב חזה לא-קרדיאלי, שיעול כרוני, צרידות.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GERD: אבחנה קלינית בעיקרה;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GERD: וושט בארט (שינוי טרום-ממאיר ברירית), היצרות וושט, שאיפה ריאתית כרונית.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מעכבי משאבת פרוטונים (PPI) — קו ראשון לשני המצבים;</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חינוך לשינויי אורח חיים (הרמת ראש מיטה, הימנעות ממזונות מעוררים, ארוחות קטנות), ניטור סימני דימום (בדיקת צואה, המוגלובין), זיהוי מיידי של סימני ניקוב (כאב בטן פתאומי וחד, בטן קשה) כחירום.</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הימנעות ממזונות מעוררי צרבת (שומניים, חריפים, קפאין, אלכוהול, שוקולד, מנטה), אי-שכיבה 2-3 שעות לאחר אכילה, הרמת ראש מיטה, הפסקת עישון, ירידה במשקל בהשמנה, השלמת מלוא קורס האנטיביוטיקה לחיסול H.</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הקלה בתסמינים, ריפוי הכיב/הרירית הפגועה, מניעת סיבוכים (דימום, ניקוב), אישור חיסול H.</w:t>
      </w:r>
    </w:p>
    <w:p>
      <w:r>
        <w:br w:type="page"/>
      </w:r>
    </w:p>
    <w:p>
      <w:pPr>
        <w:pStyle w:val="Heading1"/>
        <w:bidi/>
        <w:jc w:val="right"/>
      </w:pPr>
      <w:r>
        <w:rPr>
          <w:rFonts w:ascii="David" w:cs="David" w:eastAsia="David" w:hAnsi="David"/>
          <w:rtl/>
        </w:rPr>
        <w:t xml:space="preserve">מחלת מעי דלקתית (IBD) — קרוהן וקוליטיס כיבית</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קבוצת מחלות אוטואימוניות כרוניות של מערכת העיכול. קוליטיס כיבית (UC) — מוגבלת למעי הגס והרקטום, פוגעת ברירית בלבד ובאופן רציף. מחלת קרוהן — עלולה לפגוע בכל קטע במערכת העיכול (מהפה ועד פי הטבעת), פוגעת בכל שכבות הדופן (Transmural) באופן מדלג (Skip Lesions).</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תגובה חיסונית לא-תקינה כנגד המיקרוביום/רירית המעי → דלקת כרונית. ב-UC — דלקת רציפה שטחית עם כיבים ופסאודו-פוליפים. בקרוהן — דלקת טרנס-מורלית עם פיסטולות, היצרויות וגרנולומות אופייניות.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מערכת העיכול (ראשית); ביטויים חוץ-מעייניים: מפרקים (ארתריטיס), עור (Erythema Nodosum), עיניים (Uveitis), כבד (Primary Sclerosing Cholangitis בעיקר ב-UC).</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UC: שלשול דמי תכוף, כאבי בטן תחתונה-שמאלית, טנזמוס (דחיפות ותחושת התרוקנות לא-שלמה). קרוהן: כאבי בטן (בעיקר ימנית-תחתונה), שלשול (לרוב ללא דם), ירידה במשקל, חום, פיסטולות פרי-אנליות אופייניות.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קולונוסקופיה עם ביופסיה — כלי האבחון המרכזי לשני המצבים; סמני דלקת (CRP, קלפרוטקטין בצואה); הדמיית מעי דק (MRE/CT enterography) בקרוהן להערכת מעורבות מחוץ למעי הגס.</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UC: מגה-קולון רעיל (חירום), סיכון מוגבר לסרטן המעי הגס לאורך זמן, דימום מסיבי. קרוהן: היצרויות וחסימת מעי, פיסטולות (בין לולאות מעי, לעור, לשלפוחית), אבצסים, תת-ספיגה.</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אמינוסליצילטים (5-ASA) בעיקר ב-UC קלה-בינונית, קורטיקוסטרואידים בהתלקחויות, אימונומודולטורים (אזתיופרין), ביולוגיים (מעכבי TNF-alpha ואחרים) במחלה בינונית-קשה; ניתוח — קולקטומיה מרפאת ב-UC (בשונה מקרוהן, בו הניתוח אינו מרפא ומוגבל לטיפול בסיבוכים).</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מאזן נוזלים ואלקטרוליטים בשלשול חריף, תמיכה תזונתית (לעיתים תזונה פרנטרלית בהתלקחות קשה/חסימה), ניהול כאב, תמיכה פסיכוסוציאלית נוכח ההשפעה על איכות החיים והדימוי העצמי, טיפול בעור פרי-אנלי.</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תזונה דלת סיבים בהתלקחות חריפה, זיהוי מזונות אישיים מעוררי תסמינים, תמיכה תזונתית למניעת תת-תזונה (בעיקר בקרוהן), חינוך להיענות תרופתית למניעת התלקחויות.</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השגת הפוגה קלינית, שליטה בתסמינים ובדלקת, שימור מצב תזונתי, מניעת סיבוכים.</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ראה טבלת השוואה מרכזת UC מול קרוהן בסוף המסמך.</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קבוצת מחלות אוטואימוניות כרוניות של מערכת העיכול.</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תגובה חיסונית לא-תקינה כנגד המיקרוביום/רירית המעי → דלקת כרונית.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מערכת העיכול (ראשית);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UC: שלשול דמי תכוף, כאבי בטן תחתונה-שמאלית, טנזמוס (דחיפות ותחושת התרוקנות לא-שלמה).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קולונוסקופיה עם ביופסיה — כלי האבחון המרכזי לשני המצבים;</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UC: מגה-קולון רעיל (חירום), סיכון מוגבר לסרטן המעי הגס לאורך זמן, דימום מסיבי.</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אמינוסליצילטים (5-ASA) בעיקר ב-UC קלה-בינונית, קורטיקוסטרואידים בהתלקחויות, אימונומודולטורים (אזתיופרין), ביולוגיים (מעכבי TNF-alpha ואחרים) במחלה בינונית-קשה;</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מאזן נוזלים ואלקטרוליטים בשלשול חריף, תמיכה תזונתית (לעיתים תזונה פרנטרלית בהתלקחות קשה/חסימה), ניהול כאב, תמיכה פסיכוסוציאלית נוכח ההשפעה על איכות החיים והדימוי העצמי, טיפול בעור פרי-אנלי.</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תזונה דלת סיבים בהתלקחות חריפה, זיהוי מזונות אישיים מעוררי תסמינים, תמיכה תזונתית למניעת תת-תזונה (בעיקר בקרוהן), חינוך להיענות תרופתית למניעת התלקחויות.</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השגת הפוגה קלינית, שליטה בתסמינים ובדלקת, שימור מצב תזונתי, מניעת סיבוכים.</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ראה טבלת השוואה מרכזת UC מול קרוהן בסוף המסמך.</w:t>
      </w:r>
    </w:p>
    <w:p>
      <w:r>
        <w:br w:type="page"/>
      </w:r>
    </w:p>
    <w:p>
      <w:pPr>
        <w:pStyle w:val="Heading1"/>
        <w:bidi/>
        <w:jc w:val="right"/>
      </w:pPr>
      <w:r>
        <w:rPr>
          <w:rFonts w:ascii="David" w:cs="David" w:eastAsia="David" w:hAnsi="David"/>
          <w:rtl/>
        </w:rPr>
        <w:t xml:space="preserve">שחמת הכבד (Cirrhosis) ואי-ספיקת כבד</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מחלת כבד סופנית המאופיינת בפיברוזיס נרחב והחלפת רקמת כבד תקינה ברקמת צלקת, המשבשת את הארכיטקטורה והתפקוד התקין. גורמים: מחלת כבד אלכוהולית כרונית, הפטיטיס נגיפית כרונית (B/C), מחלת כבד שומני לא-אלכוהולית (NAFLD/NASH).</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פגיעה כרונית בתאי כבד → פיברוזיס והיווצרות נודולים רגנרטיביים → הפרעה בזרימת הדם התוך-כבדית ← יתר לחץ דם פורטלי, ואובדן הדרגתי של תפקודי כבד (סינתזה, פירוק רעלים, ייצור גורמי קרישה).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כבד (ראשית), מערכת עיכול (וריצים בוושט/קיבה עקב יל"ד פורטלי), מערכת קרישה (ירידה בגורמי קרישה), מערכת עצבים (אנצפלופתיה כבדית), כלייתית (תסמונת הפטו-רנלית).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שלב מוקדם: עייפות, אנורקסיה, ירידה קלה במשקל. שלב מתקדם: צהבת, מיימת (אצירת נוזלים בחלל הבטן), בצקות היקפיות, Spider Angiomas, אריתמה פלמרית, גינקומסטיה, קלולת (Clubbing), נטייה לחבורות/דימומים (קרישה לקויה), אנצפלופתיה כבדית (בלבול, Asterixis — רעד כפי-יד אופייני).</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בדיקות תפקודי כבד (עלייה באנזימי כבד, בילירובין; ירידה באלבומין ו-PT/INR מוארך — משקפים ירידה בתפקוד סינתטי), אולטרסאונד/CT/MRI (הערכת גודל כבד, מיימת, מסות), ביופסיית כבד (אישור סופי), אלסטוגרפיה (FibroScan) להערכת מידת הפיברוזיס. ניקוד Child-Pugh/MELD להערכת חומרה ופרוגנוזה.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דימום מוריצים בוושט (מסכן חיים), מיימת עמידה, אנצפלופתיה כבדית, תסמונת הפטו-רנלית, פריטוניטיס בקטריאלית ספונטנית (SBP), קרצינומה הפטוצלולרית.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טיפול בגורם הבסיסי (הפסקת אלכוהול, טיפול אנטי-ויראלי בהפטיטיס), לקטולוז ורifקסימין לטיפול/מניעת אנצפלופתיה כבדית, משתנים (ספירונולקטון) ופרצנטזיס למיימת, קשירת גומיה אנדוסקופית לוריצים מדממים, השתלת כבד בשלב סופני.</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מצב נפשי-קוגניטיבי (זיהוי מוקדם של אנצפלופתיה), מדידת היקף בטן ומשקל יומי למעקב מיימת, ניטור סימני דימום (קרישה לקויה), הגבלת נתרן, מניעת פגיעה (עור שביר, נטייה לדימום), טיפול עדין (הימנעות מזריקות תוך-שריריות עקב סיכון דימום).</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הגבלת נתרן (במיימת), הגבלת חלבון מתונה בלבד באנצפלופתיה (לא הגבלה קיצונית — חשיבות שימור מסת שריר), הימנעות מוחלטת מאלכוהול, הימנעות מתרופות רעילות לכבד (כולל תרופות OTC כגון פרצטמול במינון גבוה).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שליטה במיימת ובאנצפלופתיה, מניעת דימום מוריצים, שימור תפקוד כבד ככל האפשר, הערכה מתאימה למועמדות להשתלת כבד.</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מחלת כבד סופנית המאופיינת בפיברוזיס נרחב והחלפת רקמת כבד תקינה ברקמת צלקת, המשבשת את הארכיטקטורה והתפקוד התקין.</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פגיעה כרונית בתאי כבד → פיברוזיס והיווצרות נודולים רגנרטיביים → הפרעה בזרימת הדם התוך-כבדית ← יתר לחץ דם פורטלי, ואובדן הדרגתי של תפקודי כבד (סינתזה, פירוק רעלים, ייצור גורמי קרישה).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כבד (ראשית), מערכת עיכול (וריצים בוושט/קיבה עקב יל"ד פורטלי), מערכת קרישה (ירידה בגורמי קרישה), מערכת עצבים (אנצפלופתיה כבדית), כלייתית (תסמונת הפטו-רנלית).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שלב מוקדם: עייפות, אנורקסיה, ירידה קלה במשקל.</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בדיקות תפקודי כבד (עלייה באנזימי כבד, בילירובין;</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דימום מוריצים בוושט (מסכן חיים), מיימת עמידה, אנצפלופתיה כבדית, תסמונת הפטו-רנלית, פריטוניטיס בקטריאלית ספונטנית (SBP), קרצינומה הפטוצלולרית.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טיפול בגורם הבסיסי (הפסקת אלכוהול, טיפול אנטי-ויראלי בהפטיטיס), לקטולוז ורifקסימין לטיפול/מניעת אנצפלופתיה כבדית, משתנים (ספירונולקטון) ופרצנטזיס למיימת, קשירת גומיה אנדוסקופית לוריצים מדממים, השתלת כבד בשלב סופני.</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מצב נפשי-קוגניטיבי (זיהוי מוקדם של אנצפלופתיה), מדידת היקף בטן ומשקל יומי למעקב מיימת, ניטור סימני דימום (קרישה לקויה), הגבלת נתרן, מניעת פגיעה (עור שביר, נטייה לדימום), טיפול עדין (הימנעות מזריקות תוך-שריריות עקב סיכון דימום).</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הגבלת נתרן (במיימת), הגבלת חלבון מתונה בלבד באנצפלופתיה (לא הגבלה קיצונית — חשיבות שימור מסת שריר), הימנעות מוחלטת מאלכוהול, הימנעות מתרופות רעילות לכבד (כולל תרופות OTC כגון פרצטמול במינון גבוה).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שליטה במיימת ובאנצפלופתיה, מניעת דימום מוריצים, שימור תפקוד כבד ככל האפשר, הערכה מתאימה למועמדות להשתלת כבד.</w:t>
      </w:r>
    </w:p>
    <w:p>
      <w:r>
        <w:br w:type="page"/>
      </w:r>
    </w:p>
    <w:p>
      <w:pPr>
        <w:pStyle w:val="Heading1"/>
        <w:bidi/>
        <w:jc w:val="right"/>
      </w:pPr>
      <w:r>
        <w:rPr>
          <w:rFonts w:ascii="David" w:cs="David" w:eastAsia="David" w:hAnsi="David"/>
          <w:rtl/>
        </w:rPr>
        <w:t xml:space="preserve">דלקת לבלב חריפה (Acute Pancreatitis)</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דלקת חריפה של הלבלב הנגרמת מהפעלה מוקדמת של אנזימי עיכול בתוך הלבלב עצמו. גורמים עיקריים: אבני מרה (השכיח ביותר), צריכת אלכוהול כבדה, היפרטריגליצרידמיה, תרופות, ERCP.</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הפעלה מוקדמת של טריפסין ואנזימים פרוטאוליטיים אחרים בתוך הלבלב → 'עיכול עצמי' (Autodigestion) של רקמת הלבלב → דלקת מקומית שעלולה להתפתח לנמק ותגובה דלקתית סיסטמית.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לבלב (ראשי), מערכת עיכול, ובמחלה קשה — השפעה סיסטמית (הלם, ARDS, אי-ספיקת כליות — כחלק מ-MODS).</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כאב אפיגסטרי עז, קבוע, המקרין לגב, מוחמר לאחר אכילה ובשכיבה על הגב, מוקל בישיבה כפופה קדימה; בחילות והקאות; חום; בדלקת קשה — סימני Cullen (כחול סביב הטבור) ו-Grey Turner (כחול במותניים) המעידים על דימום רטרופריטוניאלי.</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עמילאז וליפאז בסרום מוגברים (ליפאז ספציפי יותר), הדמיית CT בטן להערכת חומרה ונמק, קריטריוני Ranson/APACHE II להערכת חומרה ופרוגנוזה.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נמק לבלבי מזוהם, פסאודוציסטה, MODS, הלם, אי-ספיקת נשימה (ARDS), אי-ספיקת כליות, סוכרת משנית.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צום ראשוני (מנוחת מעי) עם מעבר הדרגתי להאכלה אנטרלית מוקדמת ברגע שאפשר (מומלץ על פני צום ממושך), מתן נוזלים אגרסיבי IV, ניהול כאב (אופיואידים), טיפול בגורם הבסיסי (הסרת כיס מרה אם אבן מרה הגורם).</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כאב וסימנים חיוניים, ניטור מאזן נוזלים קפדני, מיקום בישיבה כפופה קדימה להקלת כאב, ניטור סימני החמרה (Cullen/Grey Turner, ירידה בסטורציה, ירידה בתפוקת שתן).</w:t>
      </w:r>
    </w:p>
    <w:p>
      <w:pPr>
        <w:bidi/>
        <w:spacing w:after="140"/>
        <w:jc w:val="right"/>
      </w:pPr>
      <w:r>
        <w:rPr>
          <w:rFonts w:ascii="David" w:cs="David" w:eastAsia="David" w:hAnsi="David"/>
          <w:b/>
          <w:bCs/>
          <w:sz w:val="22"/>
          <w:szCs w:val="22"/>
          <w:rtl/>
        </w:rPr>
        <w:t xml:space="preserve">9-10. תזונה ותוצאות מצופות </w:t>
      </w:r>
      <w:r>
        <w:rPr>
          <w:rFonts w:ascii="David" w:cs="David" w:eastAsia="David" w:hAnsi="David"/>
          <w:sz w:val="22"/>
          <w:szCs w:val="22"/>
          <w:rtl/>
        </w:rPr>
        <w:t xml:space="preserve">מעבר הדרגתי מצום להאכלה אנטרלית דלת שומן; מטרה — הפחתת כאב ודלקת, מניעת התקדמות לנמק/MODS, זיהוי וטיפול בגורם הבסיסי למניעת הישנות.</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דלקת חריפה של הלבלב הנגרמת מהפעלה מוקדמת של אנזימי עיכול בתוך הלבלב עצמו.</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הפעלה מוקדמת של טריפסין ואנזימים פרוטאוליטיים אחרים בתוך הלבלב → 'עיכול עצמי' (Autodigestion) של רקמת הלבלב → דלקת מקומית שעלולה להתפתח לנמק ותגובה דלקתית סיסטמית.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לבלב (ראשי), מערכת עיכול, ובמחלה קשה — השפעה סיסטמית (הלם, ARDS, אי-ספיקת כליות — כחלק מ-MODS).</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כאב אפיגסטרי עז, קבוע, המקרין לגב, מוחמר לאחר אכילה ובשכיבה על הגב, מוקל בישיבה כפופה קדימה;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עמילאז וליפאז בסרום מוגברים (ליפאז ספציפי יותר), הדמיית CT בטן להערכת חומרה ונמק, קריטריוני Ranson/APACHE II להערכת חומרה ופרוגנוזה.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נמק לבלבי מזוהם, פסאודוציסטה, MODS, הלם, אי-ספיקת נשימה (ARDS), אי-ספיקת כליות, סוכרת משנית.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צום ראשוני (מנוחת מעי) עם מעבר הדרגתי להאכלה אנטרלית מוקדמת ברגע שאפשר (מומלץ על פני צום ממושך), מתן נוזלים אגרסיבי IV, ניהול כאב (אופיואידים), טיפול בגורם הבסיסי (הסרת כיס מרה אם אבן מרה הגורם).</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כאב וסימנים חיוניים, ניטור מאזן נוזלים קפדני, מיקום בישיבה כפופה קדימה להקלת כאב, ניטור סימני החמרה (Cullen/Grey Turner, ירידה בסטורציה, ירידה בתפוקת שתן).</w:t>
      </w:r>
    </w:p>
    <w:p>
      <w:pPr>
        <w:bidi/>
        <w:spacing w:after="140"/>
        <w:jc w:val="right"/>
      </w:pPr>
      <w:r>
        <w:rPr>
          <w:rFonts w:ascii="David" w:cs="David" w:eastAsia="David" w:hAnsi="David"/>
          <w:b/>
          <w:bCs/>
          <w:sz w:val="22"/>
          <w:szCs w:val="22"/>
          <w:rtl/>
        </w:rPr>
        <w:t xml:space="preserve">9-10. תזונה ותוצאות מצופות </w:t>
      </w:r>
      <w:r>
        <w:rPr>
          <w:rFonts w:ascii="David" w:cs="David" w:eastAsia="David" w:hAnsi="David"/>
          <w:sz w:val="22"/>
          <w:szCs w:val="22"/>
          <w:rtl/>
        </w:rPr>
        <w:t xml:space="preserve">מעבר הדרגתי מצום להאכלה אנטרלית דלת שומן;</w:t>
      </w:r>
    </w:p>
    <w:p>
      <w:r>
        <w:br w:type="page"/>
      </w:r>
    </w:p>
    <w:p>
      <w:pPr>
        <w:pStyle w:val="Heading1"/>
        <w:bidi/>
        <w:jc w:val="right"/>
      </w:pPr>
      <w:r>
        <w:rPr>
          <w:rFonts w:ascii="David" w:cs="David" w:eastAsia="David" w:hAnsi="David"/>
          <w:rtl/>
        </w:rPr>
        <w:t xml:space="preserve">רמה 3 — מקוצר: טבלת השוואה — קוליטיס כיבית לעומת מחלת קרוהן</w:t>
      </w:r>
    </w:p>
    <w:p>
      <w:pPr>
        <w:spacing w:after="20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Pr>
          <w:p>
            <w:pPr>
              <w:bidi/>
              <w:jc w:val="right"/>
            </w:pPr>
            <w:r>
              <w:rPr>
                <w:rFonts w:ascii="David" w:cs="David" w:eastAsia="David" w:hAnsi="David"/>
                <w:b/>
                <w:bCs/>
                <w:color w:val="FFFFFF"/>
                <w:sz w:val="20"/>
                <w:szCs w:val="20"/>
                <w:rtl/>
              </w:rPr>
              <w:t xml:space="preserve">מאפיין</w:t>
            </w:r>
          </w:p>
        </w:tc>
        <w:tc>
          <w:tcPr>
            <w:tcW w:type="dxa" w:w="3000"/>
            <w:shd w:fill="1F4E79" w:val="clear"/>
          </w:tcPr>
          <w:p>
            <w:pPr>
              <w:bidi/>
              <w:jc w:val="right"/>
            </w:pPr>
            <w:r>
              <w:rPr>
                <w:rFonts w:ascii="David" w:cs="David" w:eastAsia="David" w:hAnsi="David"/>
                <w:b/>
                <w:bCs/>
                <w:color w:val="FFFFFF"/>
                <w:sz w:val="20"/>
                <w:szCs w:val="20"/>
                <w:rtl/>
              </w:rPr>
              <w:t xml:space="preserve">קוליטיס כיבית (UC)</w:t>
            </w:r>
          </w:p>
        </w:tc>
        <w:tc>
          <w:tcPr>
            <w:tcW w:type="dxa" w:w="3000"/>
            <w:shd w:fill="1F4E79" w:val="clear"/>
          </w:tcPr>
          <w:p>
            <w:pPr>
              <w:bidi/>
              <w:jc w:val="right"/>
            </w:pPr>
            <w:r>
              <w:rPr>
                <w:rFonts w:ascii="David" w:cs="David" w:eastAsia="David" w:hAnsi="David"/>
                <w:b/>
                <w:bCs/>
                <w:color w:val="FFFFFF"/>
                <w:sz w:val="20"/>
                <w:szCs w:val="20"/>
                <w:rtl/>
              </w:rPr>
              <w:t xml:space="preserve">מחלת קרוהן</w:t>
            </w:r>
          </w:p>
        </w:tc>
      </w:tr>
      <w:tr>
        <w:tc>
          <w:tcPr>
            <w:tcW w:type="dxa" w:w="3000"/>
            <w:shd w:fill="F2F2F2" w:val="clear"/>
          </w:tcPr>
          <w:p>
            <w:pPr>
              <w:bidi/>
              <w:jc w:val="right"/>
            </w:pPr>
            <w:r>
              <w:rPr>
                <w:rFonts w:ascii="David" w:cs="David" w:eastAsia="David" w:hAnsi="David"/>
                <w:sz w:val="20"/>
                <w:szCs w:val="20"/>
                <w:rtl/>
              </w:rPr>
              <w:t xml:space="preserve">מיקום מעורבות</w:t>
            </w:r>
          </w:p>
        </w:tc>
        <w:tc>
          <w:tcPr>
            <w:tcW w:type="dxa" w:w="3000"/>
            <w:shd w:fill="F2F2F2" w:val="clear"/>
          </w:tcPr>
          <w:p>
            <w:pPr>
              <w:bidi/>
              <w:jc w:val="right"/>
            </w:pPr>
            <w:r>
              <w:rPr>
                <w:rFonts w:ascii="David" w:cs="David" w:eastAsia="David" w:hAnsi="David"/>
                <w:sz w:val="20"/>
                <w:szCs w:val="20"/>
                <w:rtl/>
              </w:rPr>
              <w:t xml:space="preserve">מעי גס ורקטום בלבד, רציף</w:t>
            </w:r>
          </w:p>
        </w:tc>
        <w:tc>
          <w:tcPr>
            <w:tcW w:type="dxa" w:w="3000"/>
            <w:shd w:fill="F2F2F2" w:val="clear"/>
          </w:tcPr>
          <w:p>
            <w:pPr>
              <w:bidi/>
              <w:jc w:val="right"/>
            </w:pPr>
            <w:r>
              <w:rPr>
                <w:rFonts w:ascii="David" w:cs="David" w:eastAsia="David" w:hAnsi="David"/>
                <w:sz w:val="20"/>
                <w:szCs w:val="20"/>
                <w:rtl/>
              </w:rPr>
              <w:t xml:space="preserve">מהפה ועד פי הטבעת, מדלג</w:t>
            </w:r>
          </w:p>
        </w:tc>
      </w:tr>
      <w:tr>
        <w:tc>
          <w:tcPr>
            <w:tcW w:type="dxa" w:w="3000"/>
            <w:shd w:fill="FFFFFF" w:val="clear"/>
          </w:tcPr>
          <w:p>
            <w:pPr>
              <w:bidi/>
              <w:jc w:val="right"/>
            </w:pPr>
            <w:r>
              <w:rPr>
                <w:rFonts w:ascii="David" w:cs="David" w:eastAsia="David" w:hAnsi="David"/>
                <w:sz w:val="20"/>
                <w:szCs w:val="20"/>
                <w:rtl/>
              </w:rPr>
              <w:t xml:space="preserve">עומק הפגיעה</w:t>
            </w:r>
          </w:p>
        </w:tc>
        <w:tc>
          <w:tcPr>
            <w:tcW w:type="dxa" w:w="3000"/>
            <w:shd w:fill="FFFFFF" w:val="clear"/>
          </w:tcPr>
          <w:p>
            <w:pPr>
              <w:bidi/>
              <w:jc w:val="right"/>
            </w:pPr>
            <w:r>
              <w:rPr>
                <w:rFonts w:ascii="David" w:cs="David" w:eastAsia="David" w:hAnsi="David"/>
                <w:sz w:val="20"/>
                <w:szCs w:val="20"/>
                <w:rtl/>
              </w:rPr>
              <w:t xml:space="preserve">רירית בלבד</w:t>
            </w:r>
          </w:p>
        </w:tc>
        <w:tc>
          <w:tcPr>
            <w:tcW w:type="dxa" w:w="3000"/>
            <w:shd w:fill="FFFFFF" w:val="clear"/>
          </w:tcPr>
          <w:p>
            <w:pPr>
              <w:bidi/>
              <w:jc w:val="right"/>
            </w:pPr>
            <w:r>
              <w:rPr>
                <w:rFonts w:ascii="David" w:cs="David" w:eastAsia="David" w:hAnsi="David"/>
                <w:sz w:val="20"/>
                <w:szCs w:val="20"/>
                <w:rtl/>
              </w:rPr>
              <w:t xml:space="preserve">כל שכבות הדופן (Transmural)</w:t>
            </w:r>
          </w:p>
        </w:tc>
      </w:tr>
      <w:tr>
        <w:tc>
          <w:tcPr>
            <w:tcW w:type="dxa" w:w="3000"/>
            <w:shd w:fill="F2F2F2" w:val="clear"/>
          </w:tcPr>
          <w:p>
            <w:pPr>
              <w:bidi/>
              <w:jc w:val="right"/>
            </w:pPr>
            <w:r>
              <w:rPr>
                <w:rFonts w:ascii="David" w:cs="David" w:eastAsia="David" w:hAnsi="David"/>
                <w:sz w:val="20"/>
                <w:szCs w:val="20"/>
                <w:rtl/>
              </w:rPr>
              <w:t xml:space="preserve">שלשול</w:t>
            </w:r>
          </w:p>
        </w:tc>
        <w:tc>
          <w:tcPr>
            <w:tcW w:type="dxa" w:w="3000"/>
            <w:shd w:fill="F2F2F2" w:val="clear"/>
          </w:tcPr>
          <w:p>
            <w:pPr>
              <w:bidi/>
              <w:jc w:val="right"/>
            </w:pPr>
            <w:r>
              <w:rPr>
                <w:rFonts w:ascii="David" w:cs="David" w:eastAsia="David" w:hAnsi="David"/>
                <w:sz w:val="20"/>
                <w:szCs w:val="20"/>
                <w:rtl/>
              </w:rPr>
              <w:t xml:space="preserve">דמי, תכוף</w:t>
            </w:r>
          </w:p>
        </w:tc>
        <w:tc>
          <w:tcPr>
            <w:tcW w:type="dxa" w:w="3000"/>
            <w:shd w:fill="F2F2F2" w:val="clear"/>
          </w:tcPr>
          <w:p>
            <w:pPr>
              <w:bidi/>
              <w:jc w:val="right"/>
            </w:pPr>
            <w:r>
              <w:rPr>
                <w:rFonts w:ascii="David" w:cs="David" w:eastAsia="David" w:hAnsi="David"/>
                <w:sz w:val="20"/>
                <w:szCs w:val="20"/>
                <w:rtl/>
              </w:rPr>
              <w:t xml:space="preserve">לרוב ללא דם</w:t>
            </w:r>
          </w:p>
        </w:tc>
      </w:tr>
      <w:tr>
        <w:tc>
          <w:tcPr>
            <w:tcW w:type="dxa" w:w="3000"/>
            <w:shd w:fill="FFFFFF" w:val="clear"/>
          </w:tcPr>
          <w:p>
            <w:pPr>
              <w:bidi/>
              <w:jc w:val="right"/>
            </w:pPr>
            <w:r>
              <w:rPr>
                <w:rFonts w:ascii="David" w:cs="David" w:eastAsia="David" w:hAnsi="David"/>
                <w:sz w:val="20"/>
                <w:szCs w:val="20"/>
                <w:rtl/>
              </w:rPr>
              <w:t xml:space="preserve">פיסטולות</w:t>
            </w:r>
          </w:p>
        </w:tc>
        <w:tc>
          <w:tcPr>
            <w:tcW w:type="dxa" w:w="3000"/>
            <w:shd w:fill="FFFFFF" w:val="clear"/>
          </w:tcPr>
          <w:p>
            <w:pPr>
              <w:bidi/>
              <w:jc w:val="right"/>
            </w:pPr>
            <w:r>
              <w:rPr>
                <w:rFonts w:ascii="David" w:cs="David" w:eastAsia="David" w:hAnsi="David"/>
                <w:sz w:val="20"/>
                <w:szCs w:val="20"/>
                <w:rtl/>
              </w:rPr>
              <w:t xml:space="preserve">נדיר</w:t>
            </w:r>
          </w:p>
        </w:tc>
        <w:tc>
          <w:tcPr>
            <w:tcW w:type="dxa" w:w="3000"/>
            <w:shd w:fill="FFFFFF" w:val="clear"/>
          </w:tcPr>
          <w:p>
            <w:pPr>
              <w:bidi/>
              <w:jc w:val="right"/>
            </w:pPr>
            <w:r>
              <w:rPr>
                <w:rFonts w:ascii="David" w:cs="David" w:eastAsia="David" w:hAnsi="David"/>
                <w:sz w:val="20"/>
                <w:szCs w:val="20"/>
                <w:rtl/>
              </w:rPr>
              <w:t xml:space="preserve">שכיח, במיוחד פרי-אנליות</w:t>
            </w:r>
          </w:p>
        </w:tc>
      </w:tr>
      <w:tr>
        <w:tc>
          <w:tcPr>
            <w:tcW w:type="dxa" w:w="3000"/>
            <w:shd w:fill="F2F2F2" w:val="clear"/>
          </w:tcPr>
          <w:p>
            <w:pPr>
              <w:bidi/>
              <w:jc w:val="right"/>
            </w:pPr>
            <w:r>
              <w:rPr>
                <w:rFonts w:ascii="David" w:cs="David" w:eastAsia="David" w:hAnsi="David"/>
                <w:sz w:val="20"/>
                <w:szCs w:val="20"/>
                <w:rtl/>
              </w:rPr>
              <w:t xml:space="preserve">ריפוי כירורגי</w:t>
            </w:r>
          </w:p>
        </w:tc>
        <w:tc>
          <w:tcPr>
            <w:tcW w:type="dxa" w:w="3000"/>
            <w:shd w:fill="F2F2F2" w:val="clear"/>
          </w:tcPr>
          <w:p>
            <w:pPr>
              <w:bidi/>
              <w:jc w:val="right"/>
            </w:pPr>
            <w:r>
              <w:rPr>
                <w:rFonts w:ascii="David" w:cs="David" w:eastAsia="David" w:hAnsi="David"/>
                <w:sz w:val="20"/>
                <w:szCs w:val="20"/>
                <w:rtl/>
              </w:rPr>
              <w:t xml:space="preserve">קולקטומיה מרפאת</w:t>
            </w:r>
          </w:p>
        </w:tc>
        <w:tc>
          <w:tcPr>
            <w:tcW w:type="dxa" w:w="3000"/>
            <w:shd w:fill="F2F2F2" w:val="clear"/>
          </w:tcPr>
          <w:p>
            <w:pPr>
              <w:bidi/>
              <w:jc w:val="right"/>
            </w:pPr>
            <w:r>
              <w:rPr>
                <w:rFonts w:ascii="David" w:cs="David" w:eastAsia="David" w:hAnsi="David"/>
                <w:sz w:val="20"/>
                <w:szCs w:val="20"/>
                <w:rtl/>
              </w:rPr>
              <w:t xml:space="preserve">ניתוח אינו מרפא</w:t>
            </w:r>
          </w:p>
        </w:tc>
      </w:tr>
      <w:tr>
        <w:tc>
          <w:tcPr>
            <w:tcW w:type="dxa" w:w="3000"/>
            <w:shd w:fill="FFFFFF" w:val="clear"/>
          </w:tcPr>
          <w:p>
            <w:pPr>
              <w:bidi/>
              <w:jc w:val="right"/>
            </w:pPr>
            <w:r>
              <w:rPr>
                <w:rFonts w:ascii="David" w:cs="David" w:eastAsia="David" w:hAnsi="David"/>
                <w:sz w:val="20"/>
                <w:szCs w:val="20"/>
                <w:rtl/>
              </w:rPr>
              <w:t xml:space="preserve">סיכון סרטן</w:t>
            </w:r>
          </w:p>
        </w:tc>
        <w:tc>
          <w:tcPr>
            <w:tcW w:type="dxa" w:w="3000"/>
            <w:shd w:fill="FFFFFF" w:val="clear"/>
          </w:tcPr>
          <w:p>
            <w:pPr>
              <w:bidi/>
              <w:jc w:val="right"/>
            </w:pPr>
            <w:r>
              <w:rPr>
                <w:rFonts w:ascii="David" w:cs="David" w:eastAsia="David" w:hAnsi="David"/>
                <w:sz w:val="20"/>
                <w:szCs w:val="20"/>
                <w:rtl/>
              </w:rPr>
              <w:t xml:space="preserve">מוגבר עם משך המחלה</w:t>
            </w:r>
          </w:p>
        </w:tc>
        <w:tc>
          <w:tcPr>
            <w:tcW w:type="dxa" w:w="3000"/>
            <w:shd w:fill="FFFFFF" w:val="clear"/>
          </w:tcPr>
          <w:p>
            <w:pPr>
              <w:bidi/>
              <w:jc w:val="right"/>
            </w:pPr>
            <w:r>
              <w:rPr>
                <w:rFonts w:ascii="David" w:cs="David" w:eastAsia="David" w:hAnsi="David"/>
                <w:sz w:val="20"/>
                <w:szCs w:val="20"/>
                <w:rtl/>
              </w:rPr>
              <w:t xml:space="preserve">מוגבר, פחות מ-UC</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2026-07-02T11:32:00.252Z</dcterms:created>
  <dcterms:modified xsi:type="dcterms:W3CDTF">2026-07-02T11:32:00.253Z</dcterms:modified>
</cp:coreProperties>
</file>

<file path=docProps/custom.xml><?xml version="1.0" encoding="utf-8"?>
<Properties xmlns="http://schemas.openxmlformats.org/officeDocument/2006/custom-properties" xmlns:vt="http://schemas.openxmlformats.org/officeDocument/2006/docPropsVTypes"/>
</file>