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0" w:before="2000"/>
        <w:jc w:val="center"/>
      </w:pPr>
      <w:r>
        <w:rPr>
          <w:rFonts w:ascii="David" w:cs="David" w:eastAsia="David" w:hAnsi="David"/>
          <w:b/>
          <w:bCs/>
          <w:sz w:val="40"/>
          <w:szCs w:val="40"/>
          <w:rtl/>
        </w:rPr>
        <w:t xml:space="preserve">פרקים 60-65 — הפרעות נוירולוגיות</w:t>
      </w:r>
    </w:p>
    <w:p>
      <w:pPr>
        <w:bidi/>
        <w:spacing w:after="200"/>
        <w:jc w:val="center"/>
      </w:pPr>
      <w:r>
        <w:rPr>
          <w:rFonts w:ascii="David" w:cs="David" w:eastAsia="David" w:hAnsi="David"/>
          <w:i/>
          <w:iCs/>
          <w:sz w:val="26"/>
          <w:szCs w:val="26"/>
          <w:rtl/>
        </w:rPr>
        <w:t xml:space="preserve">סיכום קליני-סיעודי לפי מסגרת 11 הסעיפים</w:t>
      </w:r>
    </w:p>
    <w:p>
      <w:pPr>
        <w:bidi/>
        <w:jc w:val="center"/>
      </w:pPr>
      <w:r>
        <w:rPr>
          <w:rFonts w:ascii="David" w:cs="David" w:eastAsia="David" w:hAnsi="David"/>
          <w:color w:val="666666"/>
          <w:sz w:val="20"/>
          <w:szCs w:val="20"/>
          <w:rtl/>
        </w:rPr>
        <w:t xml:space="preserve">מבוסס על: Brunner &amp; Suddarth's Textbook of Medical-Surgical Nursing, 15th Edition, Chapters 60-65</w:t>
      </w:r>
    </w:p>
    <w:p>
      <w:r>
        <w:br w:type="page"/>
      </w:r>
    </w:p>
    <w:p>
      <w:pPr>
        <w:pStyle w:val="Heading1"/>
        <w:bidi/>
        <w:jc w:val="right"/>
      </w:pPr>
      <w:r>
        <w:rPr>
          <w:rFonts w:ascii="David" w:cs="David" w:eastAsia="David" w:hAnsi="David"/>
          <w:rtl/>
        </w:rPr>
        <w:t xml:space="preserve">עלייה בלחץ תוך-גולגולתי (ICP) ופגיעת ראש</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עלייה בלחץ בתוך חלל הגולגולת הסגור (תקין 10-20 מ"מ כספית) מעבר ליכולת הפיצוי, הנגרמת מגידול נפח אחד ממרכיבי הגולגולת (רקמת מוח, דם, נוזל מוח-שדרה) — עקב בצקת מוחית, דימום, גידול, או הידרוצפלוס.</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לפי דוקטרינת Monro-Kellie — הגולגולת היא חלל סגור בנפח קבוע; עלייה בנפח מרכיב אחד (ללא פיצוי מספיק בירידת נפח מרכיב אחר) מעלה את הלחץ התוך-גולגולתי → ירידה בלחץ הפרפוזיה המוחי (CPP = MAP - ICP) → איסכמיה מוחית, ובמקרים קיצוניים — הרניאציה מוחית (דחיקת רקמת מוח דרך מבנים אנטומיים) המהווה מצב חירום קטלני.</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עצבית מרכזית (ראשית); השפעה משנית על מערכת הנשימה (דיכוי כונן נשימה) והקרדיווסקולרית (רפלקס Cushing).</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כאב ראש, הקאות (לעיתים ללא בחילה מקדימה — 'הקאה פרויקטילית'), ירידה הדרגתית ברמת ההכרה (הסימן המוקדם והרגיש ביותר), שינויי אישונים (התרחבות/חוסר תגובה חד-צדדית — סימן להרניאציה מתקדמת), שלישיית Cushing (יתר לחץ דם, ברדיקרדיה, נשימה לא-סדירה) — סימן מאוחר וקריטי.</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סולם גלזגו לתרדמת (GCS) — כלי ההערכה המרכזי למעקב רמת הכרה; ניטור ICP פולשני (חיישן תוך-גולגולתי) בחולים בסיכון גבוה; CT/MRI מוח לזיהוי גורם (דימום, בצקת, גידול); בדיקת אישונים (גודל, סימטריה, תגובה לאור).</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הרניאציה מוחית (חירום קטלני), פגיעה מוחית איסכמית משנית, דום נשימה/לב, מוות מוחי.</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הגבהת ראש המיטה ל-30 מעלות ושמירה על ראש/צוואר בקו אמצע (שיפור ניקוז ורידי), אוסמותרפיה (מניטול/תמיסת מלח היפרטונית) להפחתת בצקת מוחית, היפרונטילציה מבוקרת קצרת-טווח במקרי חירום, ניתוח (הסרת גורם הלחץ/קרניאקטומיה מפחיתת לחץ) במקרים קשים, הרגעה וניהול כאב לצמצום דרישת חמצן מוחית.</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הערכה נוירולוגית תכופה (GCS, אישונים, סימנים חיוניים), הגבהת ראש מיטה ומניעת תנוחות המעלות לחץ תוך-חזי/בטני (הימנעות מכיפוף ירכיים חד, שיעול/הרמת משאות), מניעת עצירות (מאמץ מעלה ICP), צמצום גירויים סביבתיים (אור, רעש), טיפול קפדני בנתיב אוויר ומניעת היפוקסיה/היפרקפניה (שניהם מעלים ICP).</w:t>
      </w:r>
    </w:p>
    <w:p>
      <w:pPr>
        <w:bidi/>
        <w:spacing w:after="140"/>
        <w:jc w:val="right"/>
      </w:pPr>
      <w:r>
        <w:rPr>
          <w:rFonts w:ascii="David" w:cs="David" w:eastAsia="David" w:hAnsi="David"/>
          <w:b/>
          <w:bCs/>
          <w:sz w:val="22"/>
          <w:szCs w:val="22"/>
          <w:rtl/>
        </w:rPr>
        <w:t xml:space="preserve">9-10. תזונה ותוצאות מצופות </w:t>
      </w:r>
      <w:r>
        <w:rPr>
          <w:rFonts w:ascii="David" w:cs="David" w:eastAsia="David" w:hAnsi="David"/>
          <w:sz w:val="22"/>
          <w:szCs w:val="22"/>
          <w:rtl/>
        </w:rPr>
        <w:t xml:space="preserve">תמיכה תזונתית מותאמת למצב ההכרה (אנטרלית אם אפשר); מטרה — שמירה על ICP בטווח מקובל ולחץ פרפוזיה מוחי נאות, מניעת הרניאציה ופגיעה מוחית משנית.</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עלייה בלחץ בתוך חלל הגולגולת הסגור (תקין 10-20 מ"מ כספית) מעבר ליכולת הפיצוי, הנגרמת מגידול נפח אחד ממרכיבי הגולגולת (רקמת מוח, דם, נוזל מוח-שדרה) — עקב בצקת מוחית, דימום, גידול, או הידרוצפלוס.</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לפי דוקטרינת Monro-Kellie — הגולגולת היא חלל סגור בנפח קבוע;</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עצבית מרכזית (ראשית);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כאב ראש, הקאות (לעיתים ללא בחילה מקדימה — 'הקאה פרויקטילית'), ירידה הדרגתית ברמת ההכרה (הסימן המוקדם והרגיש ביותר), שינויי אישונים (התרחבות/חוסר תגובה חד-צדדית — סימן להרניאציה מתקדמת), שלישיית Cushing (יתר לחץ דם, ברדיקרדיה, נשימה לא-סדירה) — סימן מאוחר וקריטי.</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סולם גלזגו לתרדמת (GCS) — כלי ההערכה המרכזי למעקב רמת הכרה;</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הרניאציה מוחית (חירום קטלני), פגיעה מוחית איסכמית משנית, דום נשימה/לב, מוות מוחי.</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הגבהת ראש המיטה ל-30 מעלות ושמירה על ראש/צוואר בקו אמצע (שיפור ניקוז ורידי), אוסמותרפיה (מניטול/תמיסת מלח היפרטונית) להפחתת בצקת מוחית, היפרונטילציה מבוקרת קצרת-טווח במקרי חירום, ניתוח (הסרת גורם הלחץ/קרניאקטומיה מפחיתת לחץ) במקרים קשים, הרגעה וניהול כאב לצמצום דרישת חמצן מוחית.</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הערכה נוירולוגית תכופה (GCS, אישונים, סימנים חיוניים), הגבהת ראש מיטה ומניעת תנוחות המעלות לחץ תוך-חזי/בטני (הימנעות מכיפוף ירכיים חד, שיעול/הרמת משאות), מניעת עצירות (מאמץ מעלה ICP), צמצום גירויים סביבתיים (אור, רעש), טיפול קפדני בנתיב אוויר ומניעת היפוקסיה/היפרקפניה (שניהם מעלים ICP).</w:t>
      </w:r>
    </w:p>
    <w:p>
      <w:pPr>
        <w:bidi/>
        <w:spacing w:after="140"/>
        <w:jc w:val="right"/>
      </w:pPr>
      <w:r>
        <w:rPr>
          <w:rFonts w:ascii="David" w:cs="David" w:eastAsia="David" w:hAnsi="David"/>
          <w:b/>
          <w:bCs/>
          <w:sz w:val="22"/>
          <w:szCs w:val="22"/>
          <w:rtl/>
        </w:rPr>
        <w:t xml:space="preserve">9-10. תזונה ותוצאות מצופות </w:t>
      </w:r>
      <w:r>
        <w:rPr>
          <w:rFonts w:ascii="David" w:cs="David" w:eastAsia="David" w:hAnsi="David"/>
          <w:sz w:val="22"/>
          <w:szCs w:val="22"/>
          <w:rtl/>
        </w:rPr>
        <w:t xml:space="preserve">תמיכה תזונתית מותאמת למצב ההכרה (אנטרלית אם אפשר);</w:t>
      </w:r>
    </w:p>
    <w:p>
      <w:r>
        <w:br w:type="page"/>
      </w:r>
    </w:p>
    <w:p>
      <w:pPr>
        <w:pStyle w:val="Heading1"/>
        <w:bidi/>
        <w:jc w:val="right"/>
      </w:pPr>
      <w:r>
        <w:rPr>
          <w:rFonts w:ascii="David" w:cs="David" w:eastAsia="David" w:hAnsi="David"/>
          <w:rtl/>
        </w:rPr>
        <w:t xml:space="preserve">אירוע מוחי (Stroke/CVA)</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פגיעה נוירולוגית פתאומית הנגרמת מהפרעה בזרימת הדם למוח. אירוע איסכמי (כ-87% מהמקרים) — חסימת כלי דם מוחי (פקקת/תסחיף). אירוע דימומי — קרע כלי דם מוחי (תוך-מוחי או תת-עכבישי).</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איסכמי: הפסקת אספקת דם לאזור מוחי → מוות תאי במרכז האזור הפגוע (Core) תוך דקות, לצד אזור 'פנומברה' סובב הניתן להצלה אם הזרימה משוחזרת בזמן. דימומי: דם חודר לרקמת המוח/לחלל התת-עכבישי → נזק ישיר ולחץ מקומי, לעיתים עם עלייה משנית ב-ICP.</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עצבית מרכזית — הביטוי תלוי באזור המוחי הפגוע (חצי-שיתוק, הפרעת דיבור, הפרעת ראייה וכו').</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התחלה פתאומית של: חולשה/שיתוק חד-צדדי (פנים/יד/רגל), הפרעת דיבור (Aphasia — קושי בהבנה/הפקה, Dysarthria — קושי בהגייה), הפרעת ראייה, סחרחורת/חוסר שיווי משקל, כאב ראש עז פתאומי (אופייני יותר לדימומי, במיוחד תת-עכבישי — 'הכאב הגרוע בחיי'). כלי סקר מהיר: FAST — Face droop, Arm weakness, Speech difficulty, Time to call emergency.</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CT מוח דחוף ללא ניגוד — הבדיקה הראשונה והקריטית להבחנה בין איסכמי לדימומי (קובעת האם ניתן לתת תרומבוליזה); סולם NIHSS להערכת חומרת הפגיעה הנוירולוגית; CT/MR אנגיוגרפיה להערכת כלי הדם.</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בצקת מוחית ועלייה ב-ICP (בעיקר באירועים נרחבים), פרכוסים, דלקת ריאות שאיפתית (מקשיי בליעה), DVT/PE (מחוסר תנועה), דיכאון פוסט-שבץ, נכות תפקודית קבועה.</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איסכמי: תרומבוליזה IV (rtPA) בתוך חלון זמן מוגדר (עד 4.5 שעות מתחילת התסמינים) אם אין התווית נגד; טרומבקטומיה מכנית בחסימת כלי גדול בתוך חלון זמן מורחב; אספירין לאחר שלילת דימום. דימומי: בקרת לחץ דם קפדנית, תיקון הפרעות קרישה, לעיתים ניתוח לפינוי המטומה. שיקום רב-תחומי (פיזיותרפיה, ריפוי בעיסוק, קלינאות תקשורת) בשלב הפוסט-אקוטי בכל הסוגים.</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'זמן הוא מוח' — זיהוי מיידי וקריאה לעזרה דחופה, הערכה נוירולוגית סדרתית (NIHSS/GCS), בדיקת יכולת בליעה לפני מתן כל מזון/נוזל/תרופה פומית (סיכון שאיפה), מיצוב וטיפול בגפה הפגועה למניעת קונטרקטורות, תמיכה בתקשורת בחולה אפזי, מניעת סיבוכי חוסר תנועה (DVT, פצעי לחץ).</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הערכת בליעה פורמלית לפני האכלה, התאמת מרקם מזון בהתאם לצורך, שיקום ארוך-טווח, חינוך למניעה משנית (בקרת יתר לחץ דם, סוכרת, הפסקת עישון, נוגדי טסיות/קרישה).</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מזעור נזק מוחי סופי, שיקום תפקודי מרבי, מניעת סיבוכים משניים, מניעת אירוע חוזר.</w:t>
      </w:r>
    </w:p>
    <w:p>
      <w:pPr>
        <w:bidi/>
        <w:spacing w:after="140"/>
        <w:jc w:val="right"/>
      </w:pPr>
      <w:r>
        <w:rPr>
          <w:rFonts w:ascii="David" w:cs="David" w:eastAsia="David" w:hAnsi="David"/>
          <w:b/>
          <w:bCs/>
          <w:sz w:val="22"/>
          <w:szCs w:val="22"/>
          <w:rtl/>
        </w:rPr>
        <w:t xml:space="preserve">11. השוואה </w:t>
      </w:r>
      <w:r>
        <w:rPr>
          <w:rFonts w:ascii="David" w:cs="David" w:eastAsia="David" w:hAnsi="David"/>
          <w:sz w:val="22"/>
          <w:szCs w:val="22"/>
          <w:rtl/>
        </w:rPr>
        <w:t xml:space="preserve">אירוע איסכמי לעומת דימומי: איסכמי — שכיח יותר, טיפול בתרומבוליזה/טרומבקטומיה; דימומי — כאב ראש עז יותר אופייני, טיפול בבקרת ל"ד ותיקון קרישה, תרומבוליזה אסורה בהחלט (תחמיר את הדימום).</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פגיעה נוירולוגית פתאומית הנגרמת מהפרעה בזרימת הדם למוח.</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איסכמי: הפסקת אספקת דם לאזור מוחי → מוות תאי במרכז האזור הפגוע (Core) תוך דקות, לצד אזור 'פנומברה' סובב הניתן להצלה אם הזרימה משוחזרת בזמן.</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עצבית מרכזית — הביטוי תלוי באזור המוחי הפגוע (חצי-שיתוק, הפרעת דיבור, הפרעת ראייה וכו').</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התחלה פתאומית של: חולשה/שיתוק חד-צדדי (פנים/יד/רגל), הפרעת דיבור (Aphasia — קושי בהבנה/הפקה, Dysarthria — קושי בהגייה), הפרעת ראייה, סחרחורת/חוסר שיווי משקל, כאב ראש עז פתאומי (אופייני יותר לדימומי, במיוחד תת-עכבישי — 'הכאב הגרוע בחיי').</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CT מוח דחוף ללא ניגוד — הבדיקה הראשונה והקריטית להבחנה בין איסכמי לדימומי (קובעת האם ניתן לתת תרומבוליזה);</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בצקת מוחית ועלייה ב-ICP (בעיקר באירועים נרחבים), פרכוסים, דלקת ריאות שאיפתית (מקשיי בליעה), DVT/PE (מחוסר תנועה), דיכאון פוסט-שבץ, נכות תפקודית קבועה.</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איסכמי: תרומבוליזה IV (rtPA) בתוך חלון זמן מוגדר (עד 4.5 שעות מתחילת התסמינים) אם אין התווית נגד;</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'זמן הוא מוח' — זיהוי מיידי וקריאה לעזרה דחופה, הערכה נוירולוגית סדרתית (NIHSS/GCS), בדיקת יכולת בליעה לפני מתן כל מזון/נוזל/תרופה פומית (סיכון שאיפה), מיצוב וטיפול בגפה הפגועה למניעת קונטרקטורות, תמיכה בתקשורת בחולה אפזי, מניעת סיבוכי חוסר תנועה (DVT, פצעי לחץ).</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הערכת בליעה פורמלית לפני האכלה, התאמת מרקם מזון בהתאם לצורך, שיקום ארוך-טווח, חינוך למניעה משנית (בקרת יתר לחץ דם, סוכרת, הפסקת עישון, נוגדי טסיות/קרישה).</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מזעור נזק מוחי סופי, שיקום תפקודי מרבי, מניעת סיבוכים משניים, מניעת אירוע חוזר.</w:t>
      </w:r>
    </w:p>
    <w:p>
      <w:pPr>
        <w:bidi/>
        <w:spacing w:after="140"/>
        <w:jc w:val="right"/>
      </w:pPr>
      <w:r>
        <w:rPr>
          <w:rFonts w:ascii="David" w:cs="David" w:eastAsia="David" w:hAnsi="David"/>
          <w:b/>
          <w:bCs/>
          <w:sz w:val="22"/>
          <w:szCs w:val="22"/>
          <w:rtl/>
        </w:rPr>
        <w:t xml:space="preserve">11. השוואה </w:t>
      </w:r>
      <w:r>
        <w:rPr>
          <w:rFonts w:ascii="David" w:cs="David" w:eastAsia="David" w:hAnsi="David"/>
          <w:sz w:val="22"/>
          <w:szCs w:val="22"/>
          <w:rtl/>
        </w:rPr>
        <w:t xml:space="preserve">אירוע איסכמי לעומת דימומי: איסכמי — שכיח יותר, טיפול בתרומבוליזה/טרומבקטומיה;</w:t>
      </w:r>
    </w:p>
    <w:p>
      <w:r>
        <w:br w:type="page"/>
      </w:r>
    </w:p>
    <w:p>
      <w:pPr>
        <w:pStyle w:val="Heading1"/>
        <w:bidi/>
        <w:jc w:val="right"/>
      </w:pPr>
      <w:r>
        <w:rPr>
          <w:rFonts w:ascii="David" w:cs="David" w:eastAsia="David" w:hAnsi="David"/>
          <w:rtl/>
        </w:rPr>
        <w:t xml:space="preserve">אפילפסיה והתקפים אפילפטיים</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הפרעה כרונית המאופיינת בנטייה חוזרת להתקפים אפילפטיים (פעילות חשמלית מוחית לא-תקינה ובלתי-מבוקרת). גורמים: אידיופתית/גנטית, פגיעת ראש, שבץ מוחי, גידול מוחי, זיהום CNS, הפרעות מטבוליות.</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פריקה חשמלית סינכרונית לא-תקינה של קבוצת נוירונים במוח, המתפשטת מקומית (התקף פוקאלי) או לשני חצאי המוח (התקף כללי).</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עצבית מרכזית; במהלך התקף עוויתי — מעורבות שרירית-שלדית ונשימתית.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התקף כללי טוניק-קלוני (Grand Mal): איבוד הכרה, נוקשות שרירים (Tonic) ואז עוויתות קצביות (Clonic), לעיתים איבוד שליטה על סוגרים, בלבול פוסט-איקטלי לאחר ההתקף. התקף Absence (Petit Mal): הפסקת פעילות קצרה עם 'הבטה תפוסה', שכיח בילדים. סטטוס אפילפטיקוס — התקף ממושך (מעל 5 דקות) או התקפים חוזרים ללא חזרה להכרה ביניהם — מצב חירום.</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EEG (אלקטרואנצפלוגרם) — כלי האבחון המרכזי לזיהוי פעילות אפילפטית; MRI מוח לזיהוי גורם מבני; בדיקות דם לשלילת גורמים מטבוליים (היפוגליקמיה, הפרעת אלקטרוליטים).</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סטטוס אפילפטיקוס (מצב חירום מסכן חיים), פציעה בזמן התקף (נפילה, פגיעת ראש), שאיפה, מוות פתאומי בלתי-מוסבר באפילפסיה (SUDEP — נדיר).</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תרופות אנטי-אפילפטיות (לפי סוג ההתקף) — קו הטיפול העיקרי; בסטטוס אפילפטיקוס — בנזודיאזפינים IV מיידי ולאחריהם תרופות אנטי-אפילפטיות נוספות; ניתוח/גירוי עצב הוואגוס במקרים עמידים לתרופות.</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בזמן התקף: הגנה על המטופל מפגיעה (הרחקת חפצים מסוכנים, כרית מתחת לראש), אין להכניס דבר לפה, מיקום בצד לאחר ההתקף למניעת שאיפה, תיעוד משך ואופי ההתקף; חינוך להיענות תרופתית קבועה, זיהוי טריגרים אישיים (חוסר שינה, הבהובי אור, אלכוהול), בטיחות (הימנעות מנהיגה עד אישור רפואי, זהירות ברחצה/שחייה).</w:t>
      </w:r>
    </w:p>
    <w:p>
      <w:pPr>
        <w:bidi/>
        <w:spacing w:after="140"/>
        <w:jc w:val="right"/>
      </w:pPr>
      <w:r>
        <w:rPr>
          <w:rFonts w:ascii="David" w:cs="David" w:eastAsia="David" w:hAnsi="David"/>
          <w:b/>
          <w:bCs/>
          <w:sz w:val="22"/>
          <w:szCs w:val="22"/>
          <w:rtl/>
        </w:rPr>
        <w:t xml:space="preserve">9-10. חינוך ותוצאות מצופות </w:t>
      </w:r>
      <w:r>
        <w:rPr>
          <w:rFonts w:ascii="David" w:cs="David" w:eastAsia="David" w:hAnsi="David"/>
          <w:sz w:val="22"/>
          <w:szCs w:val="22"/>
          <w:rtl/>
        </w:rPr>
        <w:t xml:space="preserve">חינוך המשפחה לזיהוי ותגובה נכונה להתקף וזיהוי סטטוס אפילפטיקוס כחירום; מטרה — שליטה מרבית בתדירות ההתקפים תוך מזעור תופעות לוואי תרופתיות, בטיחות ואיכות חיים.</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הפרעה כרונית המאופיינת בנטייה חוזרת להתקפים אפילפטיים (פעילות חשמלית מוחית לא-תקינה ובלתי-מבוקרת).</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פריקה חשמלית סינכרונית לא-תקינה של קבוצת נוירונים במוח, המתפשטת מקומית (התקף פוקאלי) או לשני חצאי המוח (התקף כללי).</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עצבית מרכזית;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התקף כללי טוניק-קלוני (Grand Mal): איבוד הכרה, נוקשות שרירים (Tonic) ואז עוויתות קצביות (Clonic), לעיתים איבוד שליטה על סוגרים, בלבול פוסט-איקטלי לאחר ההתקף.</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EEG (אלקטרואנצפלוגרם) — כלי האבחון המרכזי לזיהוי פעילות אפילפטית;</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סטטוס אפילפטיקוס (מצב חירום מסכן חיים), פציעה בזמן התקף (נפילה, פגיעת ראש), שאיפה, מוות פתאומי בלתי-מוסבר באפילפסיה (SUDEP — נדיר).</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תרופות אנטי-אפילפטיות (לפי סוג ההתקף) — קו הטיפול העיקרי;</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בזמן התקף: הגנה על המטופל מפגיעה (הרחקת חפצים מסוכנים, כרית מתחת לראש), אין להכניס דבר לפה, מיקום בצד לאחר ההתקף למניעת שאיפה, תיעוד משך ואופי ההתקף;</w:t>
      </w:r>
    </w:p>
    <w:p>
      <w:pPr>
        <w:bidi/>
        <w:spacing w:after="140"/>
        <w:jc w:val="right"/>
      </w:pPr>
      <w:r>
        <w:rPr>
          <w:rFonts w:ascii="David" w:cs="David" w:eastAsia="David" w:hAnsi="David"/>
          <w:b/>
          <w:bCs/>
          <w:sz w:val="22"/>
          <w:szCs w:val="22"/>
          <w:rtl/>
        </w:rPr>
        <w:t xml:space="preserve">9-10. חינוך ותוצאות מצופות </w:t>
      </w:r>
      <w:r>
        <w:rPr>
          <w:rFonts w:ascii="David" w:cs="David" w:eastAsia="David" w:hAnsi="David"/>
          <w:sz w:val="22"/>
          <w:szCs w:val="22"/>
          <w:rtl/>
        </w:rPr>
        <w:t xml:space="preserve">חינוך המשפחה לזיהוי ותגובה נכונה להתקף וזיהוי סטטוס אפילפטיקוס כחירום;</w:t>
      </w:r>
    </w:p>
    <w:p>
      <w:r>
        <w:br w:type="page"/>
      </w:r>
    </w:p>
    <w:p>
      <w:pPr>
        <w:pStyle w:val="Heading1"/>
        <w:bidi/>
        <w:jc w:val="right"/>
      </w:pPr>
      <w:r>
        <w:rPr>
          <w:rFonts w:ascii="David" w:cs="David" w:eastAsia="David" w:hAnsi="David"/>
          <w:rtl/>
        </w:rPr>
        <w:t xml:space="preserve">מחלת פרקינסון (Parkinson's Disease)</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מחלה ניוונית פרוגרסיבית של מערכת העצבים המרכזית, הנגרמת מאובדן הדרגתי של נוירונים מייצרי דופמין ב-Substantia Nigra. גורם מדויק אינו ידוע; שילוב גורמים גנטיים וסביבתיים.</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ירידה בייצור דופמין משבשת את האיזון העדין בין דופמין לאצטילכולין בגרעיני הבסיס, האחראים על ויסות תנועה חלקה ומכוונת.</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עצבית מרכזית (גרעיני הבסיס); בשלבים מתקדמים — מעורבות אוטונומית (עצירות, יתר לחץ דם אורתוסטטי) וקוגניטיבית.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טריאדה קלאסית (TRAP): רעד במנוחה (Tremor — 'Pill-rolling'), נוקשות שרירית (Rigidity — 'Cogwheel'), ברדיקינזיה (האטת תנועה), חוסר יציבות תנוחתית (Postural Instability). ביטויים נוספים: הליכה מרוסקת עם צעדים קטנים (Festinating Gait), פנים מסכתיות (Masked Facies), כתב יד מתכווץ (Micrographia), דיבור מונוטוני-שקט.</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אבחנה קלינית בעיקרה, המבוססת על הטריאדה האופיינית ותגובה לטיפול דופמינרגי; אין בדיקת מעבדה/הדמיה מאשרת ייחודית.</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נפילות (מחוסר יציבות תנוחתית), קשיי בליעה ושאיפה, ירידה קוגניטיבית/דמנציה בשלבים מאוחרים, תנודות תגובה לתרופות (On-Off Phenomenon) לאחר שנות טיפול ממושכות.</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לבודופה-קרבידופה — הטיפול היעיל ביותר לתסמינים מוטוריים; אגוניסטים דופמינרגיים, מעכבי MAO-B/COMT כתוספת/חלופה; גירוי מוחי עמוק (DBS) במחלה מתקדמת עם תנודות תגובה קשות.</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הערכת סיכון נפילות והתאמת סביבה בטוחה, עידוד פעילות גופנית ופיזיותרפיה לשימור ניידות, הערכת בליעה תקופתית, מתן תרופות במדויק בזמן (עיכוב מינון עלול להחמיר משמעותית תפקוד), תמיכה בתקשורת ובביטוי רגשי (פנים מסכתיות עלולות להטעות סביבה שחושבת שהמטופל אדיש).</w:t>
      </w:r>
    </w:p>
    <w:p>
      <w:pPr>
        <w:bidi/>
        <w:spacing w:after="140"/>
        <w:jc w:val="right"/>
      </w:pPr>
      <w:r>
        <w:rPr>
          <w:rFonts w:ascii="David" w:cs="David" w:eastAsia="David" w:hAnsi="David"/>
          <w:b/>
          <w:bCs/>
          <w:sz w:val="22"/>
          <w:szCs w:val="22"/>
          <w:rtl/>
        </w:rPr>
        <w:t xml:space="preserve">9-10. תזונה ותוצאות מצופות </w:t>
      </w:r>
      <w:r>
        <w:rPr>
          <w:rFonts w:ascii="David" w:cs="David" w:eastAsia="David" w:hAnsi="David"/>
          <w:sz w:val="22"/>
          <w:szCs w:val="22"/>
          <w:rtl/>
        </w:rPr>
        <w:t xml:space="preserve">התאמת מרקם מזון בקשיי בליעה, תזמון ארוחות ביחס לנטילת לבודופה (חלבון עלול להפריע לספיגה); מטרה — שימור ניידות ותפקוד עצמאי מרבי, ניהול תנודות תגובה תרופתיות, מניעת נפילות ושאיפה.</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מחלה ניוונית פרוגרסיבית של מערכת העצבים המרכזית, הנגרמת מאובדן הדרגתי של נוירונים מייצרי דופמין ב-Substantia Nigra.</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ירידה בייצור דופמין משבשת את האיזון העדין בין דופמין לאצטילכולין בגרעיני הבסיס, האחראים על ויסות תנועה חלקה ומכוונת.</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עצבית מרכזית (גרעיני הבסיס);</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טריאדה קלאסית (TRAP): רעד במנוחה (Tremor — 'Pill-rolling'), נוקשות שרירית (Rigidity — 'Cogwheel'), ברדיקינזיה (האטת תנועה), חוסר יציבות תנוחתית (Postural Instability).</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אבחנה קלינית בעיקרה, המבוססת על הטריאדה האופיינית ותגובה לטיפול דופמינרגי;</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נפילות (מחוסר יציבות תנוחתית), קשיי בליעה ושאיפה, ירידה קוגניטיבית/דמנציה בשלבים מאוחרים, תנודות תגובה לתרופות (On-Off Phenomenon) לאחר שנות טיפול ממושכות.</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לבודופה-קרבידופה — הטיפול היעיל ביותר לתסמינים מוטוריים;</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הערכת סיכון נפילות והתאמת סביבה בטוחה, עידוד פעילות גופנית ופיזיותרפיה לשימור ניידות, הערכת בליעה תקופתית, מתן תרופות במדויק בזמן (עיכוב מינון עלול להחמיר משמעותית תפקוד), תמיכה בתקשורת ובביטוי רגשי (פנים מסכתיות עלולות להטעות סביבה שחושבת שהמטופל אדיש).</w:t>
      </w:r>
    </w:p>
    <w:p>
      <w:pPr>
        <w:bidi/>
        <w:spacing w:after="140"/>
        <w:jc w:val="right"/>
      </w:pPr>
      <w:r>
        <w:rPr>
          <w:rFonts w:ascii="David" w:cs="David" w:eastAsia="David" w:hAnsi="David"/>
          <w:b/>
          <w:bCs/>
          <w:sz w:val="22"/>
          <w:szCs w:val="22"/>
          <w:rtl/>
        </w:rPr>
        <w:t xml:space="preserve">9-10. תזונה ותוצאות מצופות </w:t>
      </w:r>
      <w:r>
        <w:rPr>
          <w:rFonts w:ascii="David" w:cs="David" w:eastAsia="David" w:hAnsi="David"/>
          <w:sz w:val="22"/>
          <w:szCs w:val="22"/>
          <w:rtl/>
        </w:rPr>
        <w:t xml:space="preserve">התאמת מרקם מזון בקשיי בליעה, תזמון ארוחות ביחס לנטילת לבודופה (חלבון עלול להפריע לספיגה);</w:t>
      </w:r>
    </w:p>
    <w:p>
      <w:r>
        <w:br w:type="page"/>
      </w:r>
    </w:p>
    <w:p>
      <w:pPr>
        <w:pStyle w:val="Heading1"/>
        <w:bidi/>
        <w:jc w:val="right"/>
      </w:pPr>
      <w:r>
        <w:rPr>
          <w:rFonts w:ascii="David" w:cs="David" w:eastAsia="David" w:hAnsi="David"/>
          <w:rtl/>
        </w:rPr>
        <w:t xml:space="preserve">פגיעת חוט שדרה (Spinal Cord Injury)</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פגיעה טראומטית או לא-טראומטית בחוט השדרה הגורמת לאובדן תפקוד מוטורי/חושי/אוטונומי מתחת לגובה הפגיעה. גורמים: תאונות דרכים (השכיח ביותר), נפילות, פגיעות ספורט, אלימות.</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פגיעה ראשונית (מכנית) ולאחריה פגיעה משנית — תגובה דלקתית, בצקת ואיסכמיה המרחיבות את הנזק מעבר לאזור הפגיעה הראשוני בשעות/ימים שלאחר האירוע. הלם ספינלי (Spinal Shock) — אובדן זמני מלא של כל הפעילות הרפלקטורית מתחת לפגיעה מיד לאחריה.</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עצבית מרכזית והיקפית; קרדיווסקולרית (הלם נוירוגני בפגיעות גבוהות); נשימתית (בפגיעות צוואריות גבוהות — שיתוק סרעפת); מערכת שתן/עיכול (נוירוגני).</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אובדן תפקוד מוטורי/חושי מתחת לגובה הפגיעה (רמת הפגיעה קובעת את היקף הפגיעה התפקודית); פגיעה גבוהה (צווארית) — טטרפלגיה, סיכון לכשל נשימתי; פגיעה נמוכה יותר (חזית/מותנית) — פרפלגיה; הלם נוירוגני (ברדיקרדיה, היפוטנסיה, עור חם) בפגיעות מעל T6.</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הערכה נוירולוגית מפורטת לפי סולם ASIA לקביעת רמת וחומרת הפגיעה (מלאה/חלקית), CT/MRI עמוד שדרה, ייצוב עמוד שדרה מיידי בזירת האירוע ועד לשלילת פגיעה.</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כשל נשימתי (בפגיעות צוואריות גבוהות), הלם נוירוגני, דיסרפלקסיה אוטונומית (Autonomic Dysreflexia — תגובה יתר-סימפטית מסוכנת לגירוי מתחת לפגיעה, בעיקר בפגיעות מעל T6 — חירום המחייב זיהוי וטיפול מיידי בגורם המעורר כגון שלפוחית מלאה), פצעי לחץ, DVT, זיהומי דרכי שתן חוזרים, התכווצויות שרירים.</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ייצוב עמוד שדרה מיידי, קורטיקוסטרואידים במינון גבוה (שנוי במחלוקת, לפי פרוטוקולים), ניתוח לייצוב/פינוי לחץ במקרים מתאימים, שיקום רב-תחומי אינטנסיבי.</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ניטור נשימתי צמוד בפגיעות גבוהות, זיהוי וטיפול מיידי בדיסרפלקסיה אוטונומית (בדיקת שלפוחית/מעי כגורם ראשון לבירור), מניעת פצעי לחץ (שינויי תנוחה קבועים), ניהול שלפוחית נוירוגנית (צנתור לסירוגין), תמיכה פסיכוסוציאלית משמעותית נוכח השינוי הדרמטי בתפקוד.</w:t>
      </w:r>
    </w:p>
    <w:p>
      <w:pPr>
        <w:bidi/>
        <w:spacing w:after="140"/>
        <w:jc w:val="right"/>
      </w:pPr>
      <w:r>
        <w:rPr>
          <w:rFonts w:ascii="David" w:cs="David" w:eastAsia="David" w:hAnsi="David"/>
          <w:b/>
          <w:bCs/>
          <w:sz w:val="22"/>
          <w:szCs w:val="22"/>
          <w:rtl/>
        </w:rPr>
        <w:t xml:space="preserve">9-10. חינוך ותוצאות מצופות </w:t>
      </w:r>
      <w:r>
        <w:rPr>
          <w:rFonts w:ascii="David" w:cs="David" w:eastAsia="David" w:hAnsi="David"/>
          <w:sz w:val="22"/>
          <w:szCs w:val="22"/>
          <w:rtl/>
        </w:rPr>
        <w:t xml:space="preserve">חינוך לזיהוי סימני דיסרפלקסיה אוטונומית (כאב ראש עז, הזעה, יתר לחץ דם פתאומי) כחירום; מטרה — מיצוי מרבי של תפקוד שיורי, מניעת סיבוכים משניים, הסתגלות פסיכוסוציאלית ושיקום.</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פגיעה טראומטית או לא-טראומטית בחוט השדרה הגורמת לאובדן תפקוד מוטורי/חושי/אוטונומי מתחת לגובה הפגיעה.</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פגיעה ראשונית (מכנית) ולאחריה פגיעה משנית — תגובה דלקתית, בצקת ואיסכמיה המרחיבות את הנזק מעבר לאזור הפגיעה הראשוני בשעות/ימים שלאחר האירוע.</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עצבית מרכזית והיקפית;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אובדן תפקוד מוטורי/חושי מתחת לגובה הפגיעה (רמת הפגיעה קובעת את היקף הפגיעה התפקודית);</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הערכה נוירולוגית מפורטת לפי סולם ASIA לקביעת רמת וחומרת הפגיעה (מלאה/חלקית), CT/MRI עמוד שדרה, ייצוב עמוד שדרה מיידי בזירת האירוע ועד לשלילת פגיעה.</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כשל נשימתי (בפגיעות צוואריות גבוהות), הלם נוירוגני, דיסרפלקסיה אוטונומית (Autonomic Dysreflexia — תגובה יתר-סימפטית מסוכנת לגירוי מתחת לפגיעה, בעיקר בפגיעות מעל T6 — חירום המחייב זיהוי וטיפול מיידי בגורם המעורר כגון שלפוחית מלאה), פצעי לחץ, DVT, זיהומי דרכי שתן חוזרים, התכווצויות שרירים.</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ייצוב עמוד שדרה מיידי, קורטיקוסטרואידים במינון גבוה (שנוי במחלוקת, לפי פרוטוקולים), ניתוח לייצוב/פינוי לחץ במקרים מתאימים, שיקום רב-תחומי אינטנסיבי.</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ניטור נשימתי צמוד בפגיעות גבוהות, זיהוי וטיפול מיידי בדיסרפלקסיה אוטונומית (בדיקת שלפוחית/מעי כגורם ראשון לבירור), מניעת פצעי לחץ (שינויי תנוחה קבועים), ניהול שלפוחית נוירוגנית (צנתור לסירוגין), תמיכה פסיכוסוציאלית משמעותית נוכח השינוי הדרמטי בתפקוד.</w:t>
      </w:r>
    </w:p>
    <w:p>
      <w:pPr>
        <w:bidi/>
        <w:spacing w:after="140"/>
        <w:jc w:val="right"/>
      </w:pPr>
      <w:r>
        <w:rPr>
          <w:rFonts w:ascii="David" w:cs="David" w:eastAsia="David" w:hAnsi="David"/>
          <w:b/>
          <w:bCs/>
          <w:sz w:val="22"/>
          <w:szCs w:val="22"/>
          <w:rtl/>
        </w:rPr>
        <w:t xml:space="preserve">9-10. חינוך ותוצאות מצופות </w:t>
      </w:r>
      <w:r>
        <w:rPr>
          <w:rFonts w:ascii="David" w:cs="David" w:eastAsia="David" w:hAnsi="David"/>
          <w:sz w:val="22"/>
          <w:szCs w:val="22"/>
          <w:rtl/>
        </w:rPr>
        <w:t xml:space="preserve">חינוך לזיהוי סימני דיסרפלקסיה אוטונומית (כאב ראש עז, הזעה, יתר לחץ דם פתאומי) כחירום;</w:t>
      </w:r>
    </w:p>
    <w:p>
      <w:r>
        <w:br w:type="page"/>
      </w:r>
    </w:p>
    <w:p>
      <w:pPr>
        <w:pStyle w:val="Heading1"/>
        <w:bidi/>
        <w:jc w:val="right"/>
      </w:pPr>
      <w:r>
        <w:rPr>
          <w:rFonts w:ascii="David" w:cs="David" w:eastAsia="David" w:hAnsi="David"/>
          <w:rtl/>
        </w:rPr>
        <w:t xml:space="preserve">רמה 3 — מקוצר: טבלת השוואה — אירוע מוחי איסכמי לעומת דימומי</w:t>
      </w:r>
    </w:p>
    <w:p>
      <w:pPr>
        <w:spacing w:after="20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val="clear"/>
          </w:tcPr>
          <w:p>
            <w:pPr>
              <w:bidi/>
              <w:jc w:val="right"/>
            </w:pPr>
            <w:r>
              <w:rPr>
                <w:rFonts w:ascii="David" w:cs="David" w:eastAsia="David" w:hAnsi="David"/>
                <w:b/>
                <w:bCs/>
                <w:color w:val="FFFFFF"/>
                <w:sz w:val="20"/>
                <w:szCs w:val="20"/>
                <w:rtl/>
              </w:rPr>
              <w:t xml:space="preserve">מאפיין</w:t>
            </w:r>
          </w:p>
        </w:tc>
        <w:tc>
          <w:tcPr>
            <w:tcW w:type="dxa" w:w="3000"/>
            <w:shd w:fill="1F4E79" w:val="clear"/>
          </w:tcPr>
          <w:p>
            <w:pPr>
              <w:bidi/>
              <w:jc w:val="right"/>
            </w:pPr>
            <w:r>
              <w:rPr>
                <w:rFonts w:ascii="David" w:cs="David" w:eastAsia="David" w:hAnsi="David"/>
                <w:b/>
                <w:bCs/>
                <w:color w:val="FFFFFF"/>
                <w:sz w:val="20"/>
                <w:szCs w:val="20"/>
                <w:rtl/>
              </w:rPr>
              <w:t xml:space="preserve">אירוע איסכמי</w:t>
            </w:r>
          </w:p>
        </w:tc>
        <w:tc>
          <w:tcPr>
            <w:tcW w:type="dxa" w:w="3000"/>
            <w:shd w:fill="1F4E79" w:val="clear"/>
          </w:tcPr>
          <w:p>
            <w:pPr>
              <w:bidi/>
              <w:jc w:val="right"/>
            </w:pPr>
            <w:r>
              <w:rPr>
                <w:rFonts w:ascii="David" w:cs="David" w:eastAsia="David" w:hAnsi="David"/>
                <w:b/>
                <w:bCs/>
                <w:color w:val="FFFFFF"/>
                <w:sz w:val="20"/>
                <w:szCs w:val="20"/>
                <w:rtl/>
              </w:rPr>
              <w:t xml:space="preserve">אירוע דימומי</w:t>
            </w:r>
          </w:p>
        </w:tc>
      </w:tr>
      <w:tr>
        <w:tc>
          <w:tcPr>
            <w:tcW w:type="dxa" w:w="3000"/>
            <w:shd w:fill="F2F2F2" w:val="clear"/>
          </w:tcPr>
          <w:p>
            <w:pPr>
              <w:bidi/>
              <w:jc w:val="right"/>
            </w:pPr>
            <w:r>
              <w:rPr>
                <w:rFonts w:ascii="David" w:cs="David" w:eastAsia="David" w:hAnsi="David"/>
                <w:sz w:val="20"/>
                <w:szCs w:val="20"/>
                <w:rtl/>
              </w:rPr>
              <w:t xml:space="preserve">שכיחות</w:t>
            </w:r>
          </w:p>
        </w:tc>
        <w:tc>
          <w:tcPr>
            <w:tcW w:type="dxa" w:w="3000"/>
            <w:shd w:fill="F2F2F2" w:val="clear"/>
          </w:tcPr>
          <w:p>
            <w:pPr>
              <w:bidi/>
              <w:jc w:val="right"/>
            </w:pPr>
            <w:r>
              <w:rPr>
                <w:rFonts w:ascii="David" w:cs="David" w:eastAsia="David" w:hAnsi="David"/>
                <w:sz w:val="20"/>
                <w:szCs w:val="20"/>
                <w:rtl/>
              </w:rPr>
              <w:t xml:space="preserve">כ-87% מהמקרים</w:t>
            </w:r>
          </w:p>
        </w:tc>
        <w:tc>
          <w:tcPr>
            <w:tcW w:type="dxa" w:w="3000"/>
            <w:shd w:fill="F2F2F2" w:val="clear"/>
          </w:tcPr>
          <w:p>
            <w:pPr>
              <w:bidi/>
              <w:jc w:val="right"/>
            </w:pPr>
            <w:r>
              <w:rPr>
                <w:rFonts w:ascii="David" w:cs="David" w:eastAsia="David" w:hAnsi="David"/>
                <w:sz w:val="20"/>
                <w:szCs w:val="20"/>
                <w:rtl/>
              </w:rPr>
              <w:t xml:space="preserve">כ-13% מהמקרים</w:t>
            </w:r>
          </w:p>
        </w:tc>
      </w:tr>
      <w:tr>
        <w:tc>
          <w:tcPr>
            <w:tcW w:type="dxa" w:w="3000"/>
            <w:shd w:fill="FFFFFF" w:val="clear"/>
          </w:tcPr>
          <w:p>
            <w:pPr>
              <w:bidi/>
              <w:jc w:val="right"/>
            </w:pPr>
            <w:r>
              <w:rPr>
                <w:rFonts w:ascii="David" w:cs="David" w:eastAsia="David" w:hAnsi="David"/>
                <w:sz w:val="20"/>
                <w:szCs w:val="20"/>
                <w:rtl/>
              </w:rPr>
              <w:t xml:space="preserve">מנגנון</w:t>
            </w:r>
          </w:p>
        </w:tc>
        <w:tc>
          <w:tcPr>
            <w:tcW w:type="dxa" w:w="3000"/>
            <w:shd w:fill="FFFFFF" w:val="clear"/>
          </w:tcPr>
          <w:p>
            <w:pPr>
              <w:bidi/>
              <w:jc w:val="right"/>
            </w:pPr>
            <w:r>
              <w:rPr>
                <w:rFonts w:ascii="David" w:cs="David" w:eastAsia="David" w:hAnsi="David"/>
                <w:sz w:val="20"/>
                <w:szCs w:val="20"/>
                <w:rtl/>
              </w:rPr>
              <w:t xml:space="preserve">חסימת כלי דם (פקקת/תסחיף)</w:t>
            </w:r>
          </w:p>
        </w:tc>
        <w:tc>
          <w:tcPr>
            <w:tcW w:type="dxa" w:w="3000"/>
            <w:shd w:fill="FFFFFF" w:val="clear"/>
          </w:tcPr>
          <w:p>
            <w:pPr>
              <w:bidi/>
              <w:jc w:val="right"/>
            </w:pPr>
            <w:r>
              <w:rPr>
                <w:rFonts w:ascii="David" w:cs="David" w:eastAsia="David" w:hAnsi="David"/>
                <w:sz w:val="20"/>
                <w:szCs w:val="20"/>
                <w:rtl/>
              </w:rPr>
              <w:t xml:space="preserve">קרע כלי דם ודימום</w:t>
            </w:r>
          </w:p>
        </w:tc>
      </w:tr>
      <w:tr>
        <w:tc>
          <w:tcPr>
            <w:tcW w:type="dxa" w:w="3000"/>
            <w:shd w:fill="F2F2F2" w:val="clear"/>
          </w:tcPr>
          <w:p>
            <w:pPr>
              <w:bidi/>
              <w:jc w:val="right"/>
            </w:pPr>
            <w:r>
              <w:rPr>
                <w:rFonts w:ascii="David" w:cs="David" w:eastAsia="David" w:hAnsi="David"/>
                <w:sz w:val="20"/>
                <w:szCs w:val="20"/>
                <w:rtl/>
              </w:rPr>
              <w:t xml:space="preserve">כאב ראש</w:t>
            </w:r>
          </w:p>
        </w:tc>
        <w:tc>
          <w:tcPr>
            <w:tcW w:type="dxa" w:w="3000"/>
            <w:shd w:fill="F2F2F2" w:val="clear"/>
          </w:tcPr>
          <w:p>
            <w:pPr>
              <w:bidi/>
              <w:jc w:val="right"/>
            </w:pPr>
            <w:r>
              <w:rPr>
                <w:rFonts w:ascii="David" w:cs="David" w:eastAsia="David" w:hAnsi="David"/>
                <w:sz w:val="20"/>
                <w:szCs w:val="20"/>
                <w:rtl/>
              </w:rPr>
              <w:t xml:space="preserve">פחות אופייני</w:t>
            </w:r>
          </w:p>
        </w:tc>
        <w:tc>
          <w:tcPr>
            <w:tcW w:type="dxa" w:w="3000"/>
            <w:shd w:fill="F2F2F2" w:val="clear"/>
          </w:tcPr>
          <w:p>
            <w:pPr>
              <w:bidi/>
              <w:jc w:val="right"/>
            </w:pPr>
            <w:r>
              <w:rPr>
                <w:rFonts w:ascii="David" w:cs="David" w:eastAsia="David" w:hAnsi="David"/>
                <w:sz w:val="20"/>
                <w:szCs w:val="20"/>
                <w:rtl/>
              </w:rPr>
              <w:t xml:space="preserve">עז ופתאומי, אופייני מאוד</w:t>
            </w:r>
          </w:p>
        </w:tc>
      </w:tr>
      <w:tr>
        <w:tc>
          <w:tcPr>
            <w:tcW w:type="dxa" w:w="3000"/>
            <w:shd w:fill="FFFFFF" w:val="clear"/>
          </w:tcPr>
          <w:p>
            <w:pPr>
              <w:bidi/>
              <w:jc w:val="right"/>
            </w:pPr>
            <w:r>
              <w:rPr>
                <w:rFonts w:ascii="David" w:cs="David" w:eastAsia="David" w:hAnsi="David"/>
                <w:sz w:val="20"/>
                <w:szCs w:val="20"/>
                <w:rtl/>
              </w:rPr>
              <w:t xml:space="preserve">טיפול ראשוני</w:t>
            </w:r>
          </w:p>
        </w:tc>
        <w:tc>
          <w:tcPr>
            <w:tcW w:type="dxa" w:w="3000"/>
            <w:shd w:fill="FFFFFF" w:val="clear"/>
          </w:tcPr>
          <w:p>
            <w:pPr>
              <w:bidi/>
              <w:jc w:val="right"/>
            </w:pPr>
            <w:r>
              <w:rPr>
                <w:rFonts w:ascii="David" w:cs="David" w:eastAsia="David" w:hAnsi="David"/>
                <w:sz w:val="20"/>
                <w:szCs w:val="20"/>
                <w:rtl/>
              </w:rPr>
              <w:t xml:space="preserve">תרומבוליזה/טרומבקטומיה</w:t>
            </w:r>
          </w:p>
        </w:tc>
        <w:tc>
          <w:tcPr>
            <w:tcW w:type="dxa" w:w="3000"/>
            <w:shd w:fill="FFFFFF" w:val="clear"/>
          </w:tcPr>
          <w:p>
            <w:pPr>
              <w:bidi/>
              <w:jc w:val="right"/>
            </w:pPr>
            <w:r>
              <w:rPr>
                <w:rFonts w:ascii="David" w:cs="David" w:eastAsia="David" w:hAnsi="David"/>
                <w:sz w:val="20"/>
                <w:szCs w:val="20"/>
                <w:rtl/>
              </w:rPr>
              <w:t xml:space="preserve">בקרת ל"ד, תיקון קרישה</w:t>
            </w:r>
          </w:p>
        </w:tc>
      </w:tr>
      <w:tr>
        <w:tc>
          <w:tcPr>
            <w:tcW w:type="dxa" w:w="3000"/>
            <w:shd w:fill="F2F2F2" w:val="clear"/>
          </w:tcPr>
          <w:p>
            <w:pPr>
              <w:bidi/>
              <w:jc w:val="right"/>
            </w:pPr>
            <w:r>
              <w:rPr>
                <w:rFonts w:ascii="David" w:cs="David" w:eastAsia="David" w:hAnsi="David"/>
                <w:sz w:val="20"/>
                <w:szCs w:val="20"/>
                <w:rtl/>
              </w:rPr>
              <w:t xml:space="preserve">תרומבוליזה</w:t>
            </w:r>
          </w:p>
        </w:tc>
        <w:tc>
          <w:tcPr>
            <w:tcW w:type="dxa" w:w="3000"/>
            <w:shd w:fill="F2F2F2" w:val="clear"/>
          </w:tcPr>
          <w:p>
            <w:pPr>
              <w:bidi/>
              <w:jc w:val="right"/>
            </w:pPr>
            <w:r>
              <w:rPr>
                <w:rFonts w:ascii="David" w:cs="David" w:eastAsia="David" w:hAnsi="David"/>
                <w:sz w:val="20"/>
                <w:szCs w:val="20"/>
                <w:rtl/>
              </w:rPr>
              <w:t xml:space="preserve">אינדיקציה עיקרית</w:t>
            </w:r>
          </w:p>
        </w:tc>
        <w:tc>
          <w:tcPr>
            <w:tcW w:type="dxa" w:w="3000"/>
            <w:shd w:fill="F2F2F2" w:val="clear"/>
          </w:tcPr>
          <w:p>
            <w:pPr>
              <w:bidi/>
              <w:jc w:val="right"/>
            </w:pPr>
            <w:r>
              <w:rPr>
                <w:rFonts w:ascii="David" w:cs="David" w:eastAsia="David" w:hAnsi="David"/>
                <w:sz w:val="20"/>
                <w:szCs w:val="20"/>
                <w:rtl/>
              </w:rPr>
              <w:t xml:space="preserve">התווית נגד מוחלטת</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2026-07-02T11:57:15.961Z</dcterms:created>
  <dcterms:modified xsi:type="dcterms:W3CDTF">2026-07-02T11:57:15.978Z</dcterms:modified>
</cp:coreProperties>
</file>

<file path=docProps/custom.xml><?xml version="1.0" encoding="utf-8"?>
<Properties xmlns="http://schemas.openxmlformats.org/officeDocument/2006/custom-properties" xmlns:vt="http://schemas.openxmlformats.org/officeDocument/2006/docPropsVTypes"/>
</file>