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Vic Declan-2502017295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1.abjad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2.cabai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3.formal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4.isap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5.lembab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6.paham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7.aktifitas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8.cendekiawan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9.Foto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10.istri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11.lubang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12.amfibi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13.pikir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14.daftar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15.frekuensi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16.izin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17.makhluk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18.praktik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19.andal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20.dekoratif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21.gizi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22.jadwal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23.masjid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24.provinsi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25.analisis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26.dekret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27.geladi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28.jenazah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29.metode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30.rapot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31.antre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32.detail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33.gubuk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34.jenderal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35.mencolok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36.risiko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37.apotek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38.diagnosis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39.hadis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40.justru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41.miliar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42.sekretaris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43.asas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44.durian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45.hafal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46.karena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47.tampak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48.sistem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49.atlet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50.efektif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51.hakikat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52.karier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53.napas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54.standardisasi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55.atmosfer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56.efektivitas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57.hierarki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58.karisma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59.nasihat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60.subjek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61.adzan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62.ekstra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63.hipotesis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64.kategori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65.negatif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66.teknik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67.belum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68.elite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69.ijazah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70.komoditas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71.negeri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72.teknologi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73.bengap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74.embus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75.imajinasi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76.komplet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77.nomor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78.zaman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79.besok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80.faksimile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81.himbau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82.kreatif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83.november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84.biosfer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85.februari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86.indra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87.kualitas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88.objek.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89.Blangko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90.Fondasi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91.Insaf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92.Kuitansi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93.Objektif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