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0F172A"/>
          <w:sz w:val="104"/>
        </w:rPr>
        <w:t>AMRAP</w:t>
      </w:r>
    </w:p>
    <w:p>
      <w:pPr>
        <w:jc w:val="center"/>
      </w:pPr>
      <w:r>
        <w:rPr>
          <w:rFonts w:ascii="Calibri" w:hAnsi="Calibri"/>
          <w:color w:val="3B82F6"/>
          <w:sz w:val="36"/>
        </w:rPr>
        <w:t>Ant Market Research Action Protocol</w:t>
      </w:r>
    </w:p>
    <w:p>
      <w:pPr>
        <w:spacing w:before="400" w:after="400"/>
        <w:jc w:val="center"/>
        <w:pBdr>
          <w:bottom w:val="single" w:sz="16" w:space="1" w:color="3B82F6"/>
        </w:pBdr>
      </w:pPr>
    </w:p>
    <w:p>
      <w:pPr>
        <w:spacing w:before="160"/>
        <w:jc w:val="center"/>
      </w:pPr>
      <w:r>
        <w:rPr>
          <w:rFonts w:ascii="Calibri" w:hAnsi="Calibri"/>
          <w:color w:val="64748B"/>
          <w:sz w:val="28"/>
        </w:rPr>
        <w:t>Product Specification Document</w:t>
      </w:r>
    </w:p>
    <w:p/>
    <w:p/>
    <w:p/>
    <w:p>
      <w:pPr>
        <w:spacing w:after="40"/>
        <w:jc w:val="center"/>
      </w:pPr>
      <w:r>
        <w:rPr>
          <w:rFonts w:ascii="Calibri" w:hAnsi="Calibri"/>
          <w:color w:val="64748B"/>
          <w:sz w:val="22"/>
        </w:rPr>
        <w:t xml:space="preserve">Version: </w:t>
      </w:r>
      <w:r>
        <w:rPr>
          <w:rFonts w:ascii="Calibri" w:hAnsi="Calibri"/>
          <w:b/>
          <w:color w:val="1E293B"/>
          <w:sz w:val="22"/>
        </w:rPr>
        <w:t>1.0</w:t>
      </w:r>
    </w:p>
    <w:p>
      <w:pPr>
        <w:spacing w:after="40"/>
        <w:jc w:val="center"/>
      </w:pPr>
      <w:r>
        <w:rPr>
          <w:rFonts w:ascii="Calibri" w:hAnsi="Calibri"/>
          <w:color w:val="64748B"/>
          <w:sz w:val="22"/>
        </w:rPr>
        <w:t xml:space="preserve">Date: </w:t>
      </w:r>
      <w:r>
        <w:rPr>
          <w:rFonts w:ascii="Calibri" w:hAnsi="Calibri"/>
          <w:b/>
          <w:color w:val="1E293B"/>
          <w:sz w:val="22"/>
        </w:rPr>
        <w:t>April 2026</w:t>
      </w:r>
    </w:p>
    <w:p>
      <w:pPr>
        <w:spacing w:after="40"/>
        <w:jc w:val="center"/>
      </w:pPr>
      <w:r>
        <w:rPr>
          <w:rFonts w:ascii="Calibri" w:hAnsi="Calibri"/>
          <w:color w:val="64748B"/>
          <w:sz w:val="22"/>
        </w:rPr>
        <w:t xml:space="preserve">Status: </w:t>
      </w:r>
      <w:r>
        <w:rPr>
          <w:rFonts w:ascii="Calibri" w:hAnsi="Calibri"/>
          <w:b/>
          <w:color w:val="1E293B"/>
          <w:sz w:val="22"/>
        </w:rPr>
        <w:t>Draft</w:t>
      </w:r>
    </w:p>
    <w:p>
      <w:pPr>
        <w:spacing w:after="40"/>
        <w:jc w:val="center"/>
      </w:pPr>
      <w:r>
        <w:rPr>
          <w:rFonts w:ascii="Calibri" w:hAnsi="Calibri"/>
          <w:color w:val="64748B"/>
          <w:sz w:val="22"/>
        </w:rPr>
        <w:t xml:space="preserve">Classification: </w:t>
      </w:r>
      <w:r>
        <w:rPr>
          <w:rFonts w:ascii="Calibri" w:hAnsi="Calibri"/>
          <w:b/>
          <w:color w:val="1E293B"/>
          <w:sz w:val="22"/>
        </w:rPr>
        <w:t>Confidential</w:t>
      </w:r>
    </w:p>
    <w:p>
      <w:r>
        <w:br w:type="page"/>
      </w:r>
    </w:p>
    <w:p>
      <w:pPr>
        <w:pStyle w:val="Heading1"/>
      </w:pPr>
      <w:r>
        <w:rPr>
          <w:rFonts w:ascii="Calibri" w:hAnsi="Calibri"/>
          <w:color w:val="0F172A"/>
        </w:rPr>
        <w:t>Executive Summary</w:t>
      </w:r>
    </w:p>
    <w:p>
      <w:pPr>
        <w:spacing w:before="0" w:after="240"/>
        <w:pBdr>
          <w:bottom w:val="single" w:sz="12" w:space="1" w:color="3B82F6"/>
        </w:pBdr>
      </w:pPr>
    </w:p>
    <w:p>
      <w:pPr>
        <w:spacing w:after="320" w:line="336" w:lineRule="auto"/>
      </w:pPr>
      <w:r>
        <w:rPr>
          <w:rFonts w:ascii="Calibri" w:hAnsi="Calibri"/>
          <w:color w:val="1E293B"/>
          <w:sz w:val="22"/>
        </w:rPr>
        <w:t>AMRAP (Ant Market Research Action Protocol) is a premium, subscription-based market research platform that delivers daily expert analysis across five key domains: Global Markets, Crypto, Economic Calendar, News, and Polymarket predictions. Subscribers pay a single monthly fee via Xendit/Midtrans to access a web-based dashboard where a team of 2-5 analysts publish individual category posts and a consolidated daily digest. The platform features an automated news recycling pipeline that ingests articles from premium sources (via RSS feeds, web scraping, or manual input), rewrites the content using AI to produce original text, and redraws all images and charts with AI to avoid copyright issues — all of which goes through a mandatory author review queue before publishing. A built-in referral system allows any subscriber to earn a one-time fixed commission for each new paying user they bring in, tracked via unique referral links. The admin dashboard provides full control over user management, subscription pricing, referral commission rates, payout processing, news source configuration, and platform analytics including subscriber growth, revenue trends, and content engagement. Content access is strictly binary — active subscribers get full access, and expired subscribers lose all access immediately with no archive. The entire platform is designed to be built and deployed within 1.5 weeks using Next.js, Supabase, and Vercel, with a total project cost of IDR 20,000,000.</w:t>
      </w:r>
    </w:p>
    <w:p>
      <w:r>
        <w:br w:type="page"/>
      </w:r>
    </w:p>
    <w:p>
      <w:pPr>
        <w:pStyle w:val="Heading1"/>
      </w:pPr>
      <w:r>
        <w:rPr>
          <w:rFonts w:ascii="Calibri" w:hAnsi="Calibri"/>
          <w:color w:val="0F172A"/>
        </w:rPr>
        <w:t>Table of Contents</w:t>
      </w:r>
    </w:p>
    <w:p>
      <w:pPr>
        <w:spacing w:before="0" w:after="240"/>
        <w:pBdr>
          <w:bottom w:val="single" w:sz="12" w:space="1" w:color="3B82F6"/>
        </w:pBdr>
      </w:pPr>
    </w:p>
    <w:p>
      <w:pPr>
        <w:spacing w:after="80"/>
        <w:ind w:left="567"/>
      </w:pPr>
      <w:r>
        <w:rPr>
          <w:rFonts w:ascii="Calibri" w:hAnsi="Calibri"/>
          <w:color w:val="1E40AF"/>
          <w:sz w:val="24"/>
        </w:rPr>
        <w:t>Executive Summary</w:t>
      </w:r>
    </w:p>
    <w:p>
      <w:pPr>
        <w:spacing w:after="80"/>
        <w:ind w:left="567"/>
      </w:pPr>
      <w:r>
        <w:rPr>
          <w:rFonts w:ascii="Calibri" w:hAnsi="Calibri"/>
          <w:color w:val="1E40AF"/>
          <w:sz w:val="24"/>
        </w:rPr>
        <w:t>1. Platform Overview</w:t>
      </w:r>
    </w:p>
    <w:p>
      <w:pPr>
        <w:spacing w:after="80"/>
        <w:ind w:left="567"/>
      </w:pPr>
      <w:r>
        <w:rPr>
          <w:rFonts w:ascii="Calibri" w:hAnsi="Calibri"/>
          <w:color w:val="1E40AF"/>
          <w:sz w:val="24"/>
        </w:rPr>
        <w:t>2. Content Structure</w:t>
      </w:r>
    </w:p>
    <w:p>
      <w:pPr>
        <w:spacing w:after="80"/>
        <w:ind w:left="567"/>
      </w:pPr>
      <w:r>
        <w:rPr>
          <w:rFonts w:ascii="Calibri" w:hAnsi="Calibri"/>
          <w:color w:val="1E40AF"/>
          <w:sz w:val="24"/>
        </w:rPr>
        <w:t>3. Core Features</w:t>
      </w:r>
    </w:p>
    <w:p>
      <w:pPr>
        <w:spacing w:after="80"/>
        <w:ind w:left="567"/>
      </w:pPr>
      <w:r>
        <w:rPr>
          <w:rFonts w:ascii="Calibri" w:hAnsi="Calibri"/>
          <w:color w:val="1E40AF"/>
          <w:sz w:val="24"/>
        </w:rPr>
        <w:t>4. User Flows</w:t>
      </w:r>
    </w:p>
    <w:p>
      <w:pPr>
        <w:spacing w:after="80"/>
        <w:ind w:left="567"/>
      </w:pPr>
      <w:r>
        <w:rPr>
          <w:rFonts w:ascii="Calibri" w:hAnsi="Calibri"/>
          <w:color w:val="1E40AF"/>
          <w:sz w:val="24"/>
        </w:rPr>
        <w:t>5. User Roles &amp; Permissions</w:t>
      </w:r>
    </w:p>
    <w:p>
      <w:pPr>
        <w:spacing w:after="80"/>
        <w:ind w:left="567"/>
      </w:pPr>
      <w:r>
        <w:rPr>
          <w:rFonts w:ascii="Calibri" w:hAnsi="Calibri"/>
          <w:color w:val="1E40AF"/>
          <w:sz w:val="24"/>
        </w:rPr>
        <w:t>6. Key Screens</w:t>
      </w:r>
    </w:p>
    <w:p>
      <w:pPr>
        <w:spacing w:after="80"/>
        <w:ind w:left="567"/>
      </w:pPr>
      <w:r>
        <w:rPr>
          <w:rFonts w:ascii="Calibri" w:hAnsi="Calibri"/>
          <w:color w:val="1E40AF"/>
          <w:sz w:val="24"/>
        </w:rPr>
        <w:t>7. System Architecture</w:t>
      </w:r>
    </w:p>
    <w:p>
      <w:pPr>
        <w:spacing w:after="80"/>
        <w:ind w:left="567"/>
      </w:pPr>
      <w:r>
        <w:rPr>
          <w:rFonts w:ascii="Calibri" w:hAnsi="Calibri"/>
          <w:color w:val="1E40AF"/>
          <w:sz w:val="24"/>
        </w:rPr>
        <w:t>8. Key Business Rules</w:t>
      </w:r>
    </w:p>
    <w:p>
      <w:pPr>
        <w:spacing w:after="80"/>
        <w:ind w:left="567"/>
      </w:pPr>
      <w:r>
        <w:rPr>
          <w:rFonts w:ascii="Calibri" w:hAnsi="Calibri"/>
          <w:color w:val="1E40AF"/>
          <w:sz w:val="24"/>
        </w:rPr>
        <w:t>9. Admin Dashboard</w:t>
      </w:r>
    </w:p>
    <w:p>
      <w:pPr>
        <w:spacing w:after="80"/>
        <w:ind w:left="567"/>
      </w:pPr>
      <w:r>
        <w:rPr>
          <w:rFonts w:ascii="Calibri" w:hAnsi="Calibri"/>
          <w:color w:val="1E40AF"/>
          <w:sz w:val="24"/>
        </w:rPr>
        <w:t>10. Project Pricing</w:t>
      </w:r>
    </w:p>
    <w:p>
      <w:pPr>
        <w:spacing w:after="80"/>
        <w:ind w:left="567"/>
      </w:pPr>
      <w:r>
        <w:rPr>
          <w:rFonts w:ascii="Calibri" w:hAnsi="Calibri"/>
          <w:color w:val="1E40AF"/>
          <w:sz w:val="24"/>
        </w:rPr>
        <w:t>11. Development Timeline (1.5 Weeks)</w:t>
      </w:r>
    </w:p>
    <w:p>
      <w:pPr>
        <w:spacing w:after="80"/>
        <w:ind w:left="567"/>
      </w:pPr>
      <w:r>
        <w:rPr>
          <w:rFonts w:ascii="Calibri" w:hAnsi="Calibri"/>
          <w:color w:val="1E40AF"/>
          <w:sz w:val="24"/>
        </w:rPr>
        <w:t>12. Tech Stack</w:t>
      </w:r>
    </w:p>
    <w:p>
      <w:pPr>
        <w:spacing w:after="80"/>
        <w:ind w:left="567"/>
      </w:pPr>
      <w:r>
        <w:rPr>
          <w:rFonts w:ascii="Calibri" w:hAnsi="Calibri"/>
          <w:color w:val="1E40AF"/>
          <w:sz w:val="24"/>
        </w:rPr>
        <w:t>13. Open Questions</w:t>
      </w:r>
    </w:p>
    <w:p>
      <w:r>
        <w:br w:type="page"/>
      </w:r>
    </w:p>
    <w:p>
      <w:pPr>
        <w:pStyle w:val="Heading1"/>
      </w:pPr>
      <w:r>
        <w:rPr>
          <w:rFonts w:ascii="Calibri" w:hAnsi="Calibri"/>
          <w:color w:val="0F172A"/>
        </w:rPr>
        <w:t>1. Platform Overview</w:t>
      </w:r>
    </w:p>
    <w:p>
      <w:pPr>
        <w:spacing w:before="0" w:after="240"/>
        <w:pBdr>
          <w:bottom w:val="single" w:sz="12" w:space="1" w:color="3B82F6"/>
        </w:pBdr>
      </w:pPr>
    </w:p>
    <w:p>
      <w:r>
        <w:rPr>
          <w:rFonts w:ascii="Calibri" w:hAnsi="Calibri"/>
        </w:rPr>
        <w:t>AMRAP (Ant Market Research Action Protocol) is a subscription-based daily market research platform. A small team of analysts publishes daily intelligence covering global markets, crypto, economic events, curated news, and prediction markets. Content is delivered exclusively through a web application.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2880"/>
            <w:shd w:fill="0F172A"/>
          </w:tcPr>
          <w:p>
            <w:pPr>
              <w:jc w:val="left"/>
            </w:pPr>
            <w:r/>
            <w:r>
              <w:rPr>
                <w:rFonts w:ascii="Calibri" w:hAnsi="Calibri"/>
                <w:b/>
                <w:color w:val="FFFFFF"/>
                <w:sz w:val="20"/>
              </w:rPr>
              <w:t>Attribute</w:t>
            </w:r>
          </w:p>
        </w:tc>
        <w:tc>
          <w:tcPr>
            <w:tcW w:type="dxa" w:w="6480"/>
            <w:shd w:fill="0F172A"/>
          </w:tcPr>
          <w:p>
            <w:pPr>
              <w:jc w:val="left"/>
            </w:pPr>
            <w:r/>
            <w:r>
              <w:rPr>
                <w:rFonts w:ascii="Calibri" w:hAnsi="Calibri"/>
                <w:b/>
                <w:color w:val="FFFFFF"/>
                <w:sz w:val="20"/>
              </w:rPr>
              <w:t>Detail</w:t>
            </w:r>
          </w:p>
        </w:tc>
      </w:tr>
      <w:tr>
        <w:tc>
          <w:tcPr>
            <w:tcW w:type="dxa" w:w="2880"/>
            <w:shd w:fill="F8FAFC"/>
          </w:tcPr>
          <w:p>
            <w:r/>
            <w:r>
              <w:rPr>
                <w:rFonts w:ascii="Calibri" w:hAnsi="Calibri"/>
                <w:color w:val="1E293B"/>
                <w:sz w:val="20"/>
              </w:rPr>
              <w:t>Platform Name</w:t>
            </w:r>
          </w:p>
        </w:tc>
        <w:tc>
          <w:tcPr>
            <w:tcW w:type="dxa" w:w="6480"/>
            <w:shd w:fill="F8FAFC"/>
          </w:tcPr>
          <w:p>
            <w:r/>
            <w:r>
              <w:rPr>
                <w:rFonts w:ascii="Calibri" w:hAnsi="Calibri"/>
                <w:color w:val="1E293B"/>
                <w:sz w:val="20"/>
              </w:rPr>
              <w:t>AMRAP — Ant Market Research Action Protocol</w:t>
            </w:r>
          </w:p>
        </w:tc>
      </w:tr>
      <w:tr>
        <w:tc>
          <w:tcPr>
            <w:tcW w:type="dxa" w:w="2880"/>
            <w:shd w:fill="FFFFFF"/>
          </w:tcPr>
          <w:p>
            <w:r/>
            <w:r>
              <w:rPr>
                <w:rFonts w:ascii="Calibri" w:hAnsi="Calibri"/>
                <w:color w:val="1E293B"/>
                <w:sz w:val="20"/>
              </w:rPr>
              <w:t>Business Model</w:t>
            </w:r>
          </w:p>
        </w:tc>
        <w:tc>
          <w:tcPr>
            <w:tcW w:type="dxa" w:w="6480"/>
            <w:shd w:fill="FFFFFF"/>
          </w:tcPr>
          <w:p>
            <w:r/>
            <w:r>
              <w:rPr>
                <w:rFonts w:ascii="Calibri" w:hAnsi="Calibri"/>
                <w:color w:val="1E293B"/>
                <w:sz w:val="20"/>
              </w:rPr>
              <w:t>Subscription-based paid research group</w:t>
            </w:r>
          </w:p>
        </w:tc>
      </w:tr>
      <w:tr>
        <w:tc>
          <w:tcPr>
            <w:tcW w:type="dxa" w:w="2880"/>
            <w:shd w:fill="F8FAFC"/>
          </w:tcPr>
          <w:p>
            <w:r/>
            <w:r>
              <w:rPr>
                <w:rFonts w:ascii="Calibri" w:hAnsi="Calibri"/>
                <w:color w:val="1E293B"/>
                <w:sz w:val="20"/>
              </w:rPr>
              <w:t>Subscription</w:t>
            </w:r>
          </w:p>
        </w:tc>
        <w:tc>
          <w:tcPr>
            <w:tcW w:type="dxa" w:w="6480"/>
            <w:shd w:fill="F8FAFC"/>
          </w:tcPr>
          <w:p>
            <w:r/>
            <w:r>
              <w:rPr>
                <w:rFonts w:ascii="Calibri" w:hAnsi="Calibri"/>
                <w:color w:val="1E293B"/>
                <w:sz w:val="20"/>
              </w:rPr>
              <w:t>Single-tier monthly plan</w:t>
            </w:r>
          </w:p>
        </w:tc>
      </w:tr>
      <w:tr>
        <w:tc>
          <w:tcPr>
            <w:tcW w:type="dxa" w:w="2880"/>
            <w:shd w:fill="FFFFFF"/>
          </w:tcPr>
          <w:p>
            <w:r/>
            <w:r>
              <w:rPr>
                <w:rFonts w:ascii="Calibri" w:hAnsi="Calibri"/>
                <w:color w:val="1E293B"/>
                <w:sz w:val="20"/>
              </w:rPr>
              <w:t>Payment Gateway</w:t>
            </w:r>
          </w:p>
        </w:tc>
        <w:tc>
          <w:tcPr>
            <w:tcW w:type="dxa" w:w="6480"/>
            <w:shd w:fill="FFFFFF"/>
          </w:tcPr>
          <w:p>
            <w:r/>
            <w:r>
              <w:rPr>
                <w:rFonts w:ascii="Calibri" w:hAnsi="Calibri"/>
                <w:color w:val="1E293B"/>
                <w:sz w:val="20"/>
              </w:rPr>
              <w:t>Xendit / Midtrans (bank transfer, e-wallet, VA, cards)</w:t>
            </w:r>
          </w:p>
        </w:tc>
      </w:tr>
      <w:tr>
        <w:tc>
          <w:tcPr>
            <w:tcW w:type="dxa" w:w="2880"/>
            <w:shd w:fill="F8FAFC"/>
          </w:tcPr>
          <w:p>
            <w:r/>
            <w:r>
              <w:rPr>
                <w:rFonts w:ascii="Calibri" w:hAnsi="Calibri"/>
                <w:color w:val="1E293B"/>
                <w:sz w:val="20"/>
              </w:rPr>
              <w:t>Content Delivery</w:t>
            </w:r>
          </w:p>
        </w:tc>
        <w:tc>
          <w:tcPr>
            <w:tcW w:type="dxa" w:w="6480"/>
            <w:shd w:fill="F8FAFC"/>
          </w:tcPr>
          <w:p>
            <w:r/>
            <w:r>
              <w:rPr>
                <w:rFonts w:ascii="Calibri" w:hAnsi="Calibri"/>
                <w:color w:val="1E293B"/>
                <w:sz w:val="20"/>
              </w:rPr>
              <w:t>Web app only (landing page + subscriber dashboard)</w:t>
            </w:r>
          </w:p>
        </w:tc>
      </w:tr>
      <w:tr>
        <w:tc>
          <w:tcPr>
            <w:tcW w:type="dxa" w:w="2880"/>
            <w:shd w:fill="FFFFFF"/>
          </w:tcPr>
          <w:p>
            <w:r/>
            <w:r>
              <w:rPr>
                <w:rFonts w:ascii="Calibri" w:hAnsi="Calibri"/>
                <w:color w:val="1E293B"/>
                <w:sz w:val="20"/>
              </w:rPr>
              <w:t>Content Team</w:t>
            </w:r>
          </w:p>
        </w:tc>
        <w:tc>
          <w:tcPr>
            <w:tcW w:type="dxa" w:w="6480"/>
            <w:shd w:fill="FFFFFF"/>
          </w:tcPr>
          <w:p>
            <w:r/>
            <w:r>
              <w:rPr>
                <w:rFonts w:ascii="Calibri" w:hAnsi="Calibri"/>
                <w:color w:val="1E293B"/>
                <w:sz w:val="20"/>
              </w:rPr>
              <w:t>Small team of 2-5 authors, each covering different domains</w:t>
            </w:r>
          </w:p>
        </w:tc>
      </w:tr>
      <w:tr>
        <w:tc>
          <w:tcPr>
            <w:tcW w:type="dxa" w:w="2880"/>
            <w:shd w:fill="F8FAFC"/>
          </w:tcPr>
          <w:p>
            <w:r/>
            <w:r>
              <w:rPr>
                <w:rFonts w:ascii="Calibri" w:hAnsi="Calibri"/>
                <w:color w:val="1E293B"/>
                <w:sz w:val="20"/>
              </w:rPr>
              <w:t>Subscriber Access</w:t>
            </w:r>
          </w:p>
        </w:tc>
        <w:tc>
          <w:tcPr>
            <w:tcW w:type="dxa" w:w="6480"/>
            <w:shd w:fill="F8FAFC"/>
          </w:tcPr>
          <w:p>
            <w:r/>
            <w:r>
              <w:rPr>
                <w:rFonts w:ascii="Calibri" w:hAnsi="Calibri"/>
                <w:color w:val="1E293B"/>
                <w:sz w:val="20"/>
              </w:rPr>
              <w:t>Read-only — no comments, forums, or community features</w:t>
            </w:r>
          </w:p>
        </w:tc>
      </w:tr>
    </w:tbl>
    <w:p/>
    <w:p>
      <w:pPr>
        <w:pStyle w:val="Heading1"/>
      </w:pPr>
      <w:r>
        <w:rPr>
          <w:rFonts w:ascii="Calibri" w:hAnsi="Calibri"/>
          <w:color w:val="0F172A"/>
        </w:rPr>
        <w:t>2. Content Structure</w:t>
      </w:r>
    </w:p>
    <w:p>
      <w:pPr>
        <w:spacing w:before="0" w:after="240"/>
        <w:pBdr>
          <w:bottom w:val="single" w:sz="12" w:space="1" w:color="3B82F6"/>
        </w:pBdr>
      </w:pPr>
    </w:p>
    <w:p>
      <w:pPr>
        <w:pStyle w:val="Heading2"/>
      </w:pPr>
      <w:r>
        <w:rPr>
          <w:rFonts w:ascii="Calibri" w:hAnsi="Calibri"/>
          <w:color w:val="1E40AF"/>
        </w:rPr>
        <w:t>Daily Content Categories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2592"/>
            <w:shd w:fill="0F172A"/>
          </w:tcPr>
          <w:p>
            <w:pPr>
              <w:jc w:val="left"/>
            </w:pPr>
            <w:r/>
            <w:r>
              <w:rPr>
                <w:rFonts w:ascii="Calibri" w:hAnsi="Calibri"/>
                <w:b/>
                <w:color w:val="FFFFFF"/>
                <w:sz w:val="20"/>
              </w:rPr>
              <w:t>Category</w:t>
            </w:r>
          </w:p>
        </w:tc>
        <w:tc>
          <w:tcPr>
            <w:tcW w:type="dxa" w:w="6768"/>
            <w:shd w:fill="0F172A"/>
          </w:tcPr>
          <w:p>
            <w:pPr>
              <w:jc w:val="left"/>
            </w:pPr>
            <w:r/>
            <w:r>
              <w:rPr>
                <w:rFonts w:ascii="Calibri" w:hAnsi="Calibri"/>
                <w:b/>
                <w:color w:val="FFFFFF"/>
                <w:sz w:val="20"/>
              </w:rPr>
              <w:t>Description</w:t>
            </w:r>
          </w:p>
        </w:tc>
      </w:tr>
      <w:tr>
        <w:tc>
          <w:tcPr>
            <w:tcW w:type="dxa" w:w="2592"/>
            <w:shd w:fill="F8FAFC"/>
          </w:tcPr>
          <w:p>
            <w:r/>
            <w:r>
              <w:rPr>
                <w:rFonts w:ascii="Calibri" w:hAnsi="Calibri"/>
                <w:color w:val="1E293B"/>
                <w:sz w:val="20"/>
              </w:rPr>
              <w:t>Global Market</w:t>
            </w:r>
          </w:p>
        </w:tc>
        <w:tc>
          <w:tcPr>
            <w:tcW w:type="dxa" w:w="6768"/>
            <w:shd w:fill="F8FAFC"/>
          </w:tcPr>
          <w:p>
            <w:r/>
            <w:r>
              <w:rPr>
                <w:rFonts w:ascii="Calibri" w:hAnsi="Calibri"/>
                <w:color w:val="1E293B"/>
                <w:sz w:val="20"/>
              </w:rPr>
              <w:t>Daily analysis of global equity markets, indices, commodities, forex</w:t>
            </w:r>
          </w:p>
        </w:tc>
      </w:tr>
      <w:tr>
        <w:tc>
          <w:tcPr>
            <w:tcW w:type="dxa" w:w="2592"/>
            <w:shd w:fill="FFFFFF"/>
          </w:tcPr>
          <w:p>
            <w:r/>
            <w:r>
              <w:rPr>
                <w:rFonts w:ascii="Calibri" w:hAnsi="Calibri"/>
                <w:color w:val="1E293B"/>
                <w:sz w:val="20"/>
              </w:rPr>
              <w:t>Crypto</w:t>
            </w:r>
          </w:p>
        </w:tc>
        <w:tc>
          <w:tcPr>
            <w:tcW w:type="dxa" w:w="6768"/>
            <w:shd w:fill="FFFFFF"/>
          </w:tcPr>
          <w:p>
            <w:r/>
            <w:r>
              <w:rPr>
                <w:rFonts w:ascii="Calibri" w:hAnsi="Calibri"/>
                <w:color w:val="1E293B"/>
                <w:sz w:val="20"/>
              </w:rPr>
              <w:t>Cryptocurrency market analysis, on-chain data, token movements</w:t>
            </w:r>
          </w:p>
        </w:tc>
      </w:tr>
      <w:tr>
        <w:tc>
          <w:tcPr>
            <w:tcW w:type="dxa" w:w="2592"/>
            <w:shd w:fill="F8FAFC"/>
          </w:tcPr>
          <w:p>
            <w:r/>
            <w:r>
              <w:rPr>
                <w:rFonts w:ascii="Calibri" w:hAnsi="Calibri"/>
                <w:color w:val="1E293B"/>
                <w:sz w:val="20"/>
              </w:rPr>
              <w:t>Economic Calendar</w:t>
            </w:r>
          </w:p>
        </w:tc>
        <w:tc>
          <w:tcPr>
            <w:tcW w:type="dxa" w:w="6768"/>
            <w:shd w:fill="F8FAFC"/>
          </w:tcPr>
          <w:p>
            <w:r/>
            <w:r>
              <w:rPr>
                <w:rFonts w:ascii="Calibri" w:hAnsi="Calibri"/>
                <w:color w:val="1E293B"/>
                <w:sz w:val="20"/>
              </w:rPr>
              <w:t>Upcoming economic events, central bank decisions, earnings releases</w:t>
            </w:r>
          </w:p>
        </w:tc>
      </w:tr>
      <w:tr>
        <w:tc>
          <w:tcPr>
            <w:tcW w:type="dxa" w:w="2592"/>
            <w:shd w:fill="FFFFFF"/>
          </w:tcPr>
          <w:p>
            <w:r/>
            <w:r>
              <w:rPr>
                <w:rFonts w:ascii="Calibri" w:hAnsi="Calibri"/>
                <w:color w:val="1E293B"/>
                <w:sz w:val="20"/>
              </w:rPr>
              <w:t>News Digest</w:t>
            </w:r>
          </w:p>
        </w:tc>
        <w:tc>
          <w:tcPr>
            <w:tcW w:type="dxa" w:w="6768"/>
            <w:shd w:fill="FFFFFF"/>
          </w:tcPr>
          <w:p>
            <w:r/>
            <w:r>
              <w:rPr>
                <w:rFonts w:ascii="Calibri" w:hAnsi="Calibri"/>
                <w:color w:val="1E293B"/>
                <w:sz w:val="20"/>
              </w:rPr>
              <w:t>Curated and recycled news from premium sources (AI-rewritten)</w:t>
            </w:r>
          </w:p>
        </w:tc>
      </w:tr>
      <w:tr>
        <w:tc>
          <w:tcPr>
            <w:tcW w:type="dxa" w:w="2592"/>
            <w:shd w:fill="F8FAFC"/>
          </w:tcPr>
          <w:p>
            <w:r/>
            <w:r>
              <w:rPr>
                <w:rFonts w:ascii="Calibri" w:hAnsi="Calibri"/>
                <w:color w:val="1E293B"/>
                <w:sz w:val="20"/>
              </w:rPr>
              <w:t>Polymarket</w:t>
            </w:r>
          </w:p>
        </w:tc>
        <w:tc>
          <w:tcPr>
            <w:tcW w:type="dxa" w:w="6768"/>
            <w:shd w:fill="F8FAFC"/>
          </w:tcPr>
          <w:p>
            <w:r/>
            <w:r>
              <w:rPr>
                <w:rFonts w:ascii="Calibri" w:hAnsi="Calibri"/>
                <w:color w:val="1E293B"/>
                <w:sz w:val="20"/>
              </w:rPr>
              <w:t>Prediction market insights, trending bets, probability analysis</w:t>
            </w:r>
          </w:p>
        </w:tc>
      </w:tr>
    </w:tbl>
    <w:p/>
    <w:p>
      <w:pPr>
        <w:pStyle w:val="Heading2"/>
      </w:pPr>
      <w:r>
        <w:rPr>
          <w:rFonts w:ascii="Calibri" w:hAnsi="Calibri"/>
          <w:color w:val="1E40AF"/>
        </w:rPr>
        <w:t>Post Format</w:t>
      </w:r>
    </w:p>
    <w:p>
      <w:pPr>
        <w:pStyle w:val="ListBullet"/>
      </w:pPr>
      <w:r>
        <w:rPr>
          <w:rFonts w:ascii="Calibri" w:hAnsi="Calibri"/>
          <w:color w:val="1E293B"/>
          <w:sz w:val="22"/>
        </w:rPr>
        <w:t>Individual posts per category — subscribers can browse and filter by topic</w:t>
      </w:r>
    </w:p>
    <w:p>
      <w:pPr>
        <w:pStyle w:val="ListBullet"/>
      </w:pPr>
      <w:r>
        <w:rPr>
          <w:rFonts w:ascii="Calibri" w:hAnsi="Calibri"/>
          <w:color w:val="1E293B"/>
          <w:sz w:val="22"/>
        </w:rPr>
        <w:t>Daily digest — a combined summary post aggregating all categories into one overview</w:t>
      </w:r>
    </w:p>
    <w:p>
      <w:r>
        <w:br w:type="page"/>
      </w:r>
    </w:p>
    <w:p>
      <w:pPr>
        <w:pStyle w:val="Heading1"/>
      </w:pPr>
      <w:r>
        <w:rPr>
          <w:rFonts w:ascii="Calibri" w:hAnsi="Calibri"/>
          <w:color w:val="0F172A"/>
        </w:rPr>
        <w:t>3. Core Features</w:t>
      </w:r>
    </w:p>
    <w:p>
      <w:pPr>
        <w:spacing w:before="0" w:after="240"/>
        <w:pBdr>
          <w:bottom w:val="single" w:sz="12" w:space="1" w:color="3B82F6"/>
        </w:pBdr>
      </w:pPr>
    </w:p>
    <w:p>
      <w:pPr>
        <w:pStyle w:val="Heading2"/>
      </w:pPr>
      <w:r>
        <w:rPr>
          <w:rFonts w:ascii="Calibri" w:hAnsi="Calibri"/>
          <w:color w:val="1E40AF"/>
        </w:rPr>
        <w:t>A. Author Dashboard</w:t>
      </w:r>
    </w:p>
    <w:p>
      <w:pPr>
        <w:pStyle w:val="ListBullet"/>
      </w:pPr>
      <w:r>
        <w:rPr>
          <w:rFonts w:ascii="Calibri" w:hAnsi="Calibri"/>
          <w:color w:val="1E293B"/>
          <w:sz w:val="22"/>
        </w:rPr>
        <w:t>Create, edit, and publish posts by category</w:t>
      </w:r>
    </w:p>
    <w:p>
      <w:pPr>
        <w:pStyle w:val="ListBullet"/>
      </w:pPr>
      <w:r>
        <w:rPr>
          <w:rFonts w:ascii="Calibri" w:hAnsi="Calibri"/>
          <w:color w:val="1E293B"/>
          <w:sz w:val="22"/>
        </w:rPr>
        <w:t>Save drafts and schedule posts for future publishing</w:t>
      </w:r>
    </w:p>
    <w:p>
      <w:pPr>
        <w:pStyle w:val="ListBullet"/>
      </w:pPr>
      <w:r>
        <w:rPr>
          <w:rFonts w:ascii="Calibri" w:hAnsi="Calibri"/>
          <w:color w:val="1E293B"/>
          <w:sz w:val="22"/>
        </w:rPr>
        <w:t>Generate daily digest from individual category posts</w:t>
      </w:r>
    </w:p>
    <w:p>
      <w:pPr>
        <w:pStyle w:val="ListBullet"/>
      </w:pPr>
      <w:r>
        <w:rPr>
          <w:rFonts w:ascii="Calibri" w:hAnsi="Calibri"/>
          <w:color w:val="1E293B"/>
          <w:sz w:val="22"/>
        </w:rPr>
        <w:t>Review queue for auto-recycled news (approve / reject / edit before publishing)</w:t>
      </w:r>
    </w:p>
    <w:p>
      <w:pPr>
        <w:pStyle w:val="Heading2"/>
      </w:pPr>
      <w:r>
        <w:rPr>
          <w:rFonts w:ascii="Calibri" w:hAnsi="Calibri"/>
          <w:color w:val="1E40AF"/>
        </w:rPr>
        <w:t>B. Auto News Recycler</w:t>
      </w:r>
    </w:p>
    <w:p>
      <w:r>
        <w:rPr>
          <w:rFonts w:ascii="Calibri" w:hAnsi="Calibri"/>
        </w:rPr>
        <w:t>Automated pipeline that ingests premium news from multiple sources, rewrites content with AI, redraws images to avoid copyright, and queues everything for author review.</w:t>
      </w:r>
    </w:p>
    <w:p>
      <w:pPr>
        <w:pStyle w:val="Heading3"/>
      </w:pPr>
      <w:r>
        <w:rPr>
          <w:rFonts w:ascii="Calibri" w:hAnsi="Calibri"/>
          <w:color w:val="1E40AF"/>
        </w:rPr>
        <w:t>Input Sources</w:t>
      </w:r>
    </w:p>
    <w:p>
      <w:pPr>
        <w:pStyle w:val="ListBullet"/>
      </w:pPr>
      <w:r>
        <w:rPr>
          <w:rFonts w:ascii="Calibri" w:hAnsi="Calibri"/>
          <w:color w:val="1E293B"/>
          <w:sz w:val="22"/>
        </w:rPr>
        <w:t>RSS / API feeds (e.g., Bloomberg, Reuters, CoinDesk)</w:t>
      </w:r>
    </w:p>
    <w:p>
      <w:pPr>
        <w:pStyle w:val="ListBullet"/>
      </w:pPr>
      <w:r>
        <w:rPr>
          <w:rFonts w:ascii="Calibri" w:hAnsi="Calibri"/>
          <w:color w:val="1E293B"/>
          <w:sz w:val="22"/>
        </w:rPr>
        <w:t>Web scraping (premium sites the team has access to)</w:t>
      </w:r>
    </w:p>
    <w:p>
      <w:pPr>
        <w:pStyle w:val="ListBullet"/>
      </w:pPr>
      <w:r>
        <w:rPr>
          <w:rFonts w:ascii="Calibri" w:hAnsi="Calibri"/>
          <w:color w:val="1E293B"/>
          <w:sz w:val="22"/>
        </w:rPr>
        <w:t>Manual copy-paste by authors</w:t>
      </w:r>
    </w:p>
    <w:p>
      <w:pPr>
        <w:pStyle w:val="Heading3"/>
      </w:pPr>
      <w:r>
        <w:rPr>
          <w:rFonts w:ascii="Calibri" w:hAnsi="Calibri"/>
          <w:color w:val="1E40AF"/>
        </w:rPr>
        <w:t>AI Processing Pipeline</w:t>
      </w:r>
    </w:p>
    <w:p>
      <w:pPr>
        <w:jc w:val="center"/>
      </w:pPr>
      <w:r>
        <w:drawing>
          <wp:inline xmlns:a="http://schemas.openxmlformats.org/drawingml/2006/main" xmlns:pic="http://schemas.openxmlformats.org/drawingml/2006/picture">
            <wp:extent cx="5029200" cy="13139242"/>
            <wp:docPr id="1" name="Picture 1"/>
            <wp:cNvGraphicFramePr>
              <a:graphicFrameLocks noChangeAspect="1"/>
            </wp:cNvGraphicFramePr>
            <a:graphic>
              <a:graphicData uri="http://schemas.openxmlformats.org/drawingml/2006/picture">
                <pic:pic>
                  <pic:nvPicPr>
                    <pic:cNvPr id="0" name="flow-e-news-recycler.png"/>
                    <pic:cNvPicPr/>
                  </pic:nvPicPr>
                  <pic:blipFill>
                    <a:blip r:embed="rId9"/>
                    <a:stretch>
                      <a:fillRect/>
                    </a:stretch>
                  </pic:blipFill>
                  <pic:spPr>
                    <a:xfrm>
                      <a:off x="0" y="0"/>
                      <a:ext cx="5029200" cy="13139242"/>
                    </a:xfrm>
                    <a:prstGeom prst="rect"/>
                  </pic:spPr>
                </pic:pic>
              </a:graphicData>
            </a:graphic>
          </wp:inline>
        </w:drawing>
      </w:r>
    </w:p>
    <w:p>
      <w:pPr>
        <w:spacing w:after="320"/>
        <w:jc w:val="center"/>
      </w:pPr>
      <w:r>
        <w:rPr>
          <w:rFonts w:ascii="Calibri" w:hAnsi="Calibri"/>
          <w:i/>
          <w:color w:val="64748B"/>
          <w:sz w:val="18"/>
        </w:rPr>
        <w:t>Figure 1: Auto News Recycler Pipeline</w:t>
      </w:r>
    </w:p>
    <w:tbl>
      <w:tblPr>
        <w:tblW w:type="auto" w:w="0"/>
        <w:tblLook w:firstColumn="1" w:firstRow="1" w:lastColumn="0" w:lastRow="0" w:noHBand="0" w:noVBand="1" w:val="04A0"/>
      </w:tblPr>
      <w:tblGrid>
        <w:gridCol w:w="9406"/>
      </w:tblGrid>
      <w:tr>
        <w:tc>
          <w:tcPr>
            <w:tcW w:type="dxa" w:w="9406"/>
            <w:shd w:fill="EFF6FF"/>
            <w:tcBorders>
              <w:top w:val="single" w:sz="4" w:space="0" w:color="3B82F6"/>
              <w:bottom w:val="single" w:sz="4" w:space="0" w:color="3B82F6"/>
              <w:left w:val="single" w:sz="4" w:space="0" w:color="3B82F6"/>
              <w:right w:val="single" w:sz="4" w:space="0" w:color="3B82F6"/>
            </w:tcBorders>
          </w:tcPr>
          <w:p>
            <w:r/>
            <w:r>
              <w:rPr>
                <w:rFonts w:ascii="Calibri" w:hAnsi="Calibri"/>
                <w:color w:val="1E40AF"/>
                <w:sz w:val="20"/>
              </w:rPr>
              <w:t>All recycled content requires author approval before publishing. Nothing is auto-published.</w:t>
            </w:r>
          </w:p>
        </w:tc>
      </w:tr>
    </w:tbl>
    <w:p/>
    <w:p>
      <w:pPr>
        <w:pStyle w:val="Heading2"/>
      </w:pPr>
      <w:r>
        <w:rPr>
          <w:rFonts w:ascii="Calibri" w:hAnsi="Calibri"/>
          <w:color w:val="1E40AF"/>
        </w:rPr>
        <w:t>C. Subscriber Dashboard</w:t>
      </w:r>
    </w:p>
    <w:p>
      <w:pPr>
        <w:pStyle w:val="ListBullet"/>
      </w:pPr>
      <w:r>
        <w:rPr>
          <w:rFonts w:ascii="Calibri" w:hAnsi="Calibri"/>
          <w:color w:val="1E293B"/>
          <w:sz w:val="22"/>
        </w:rPr>
        <w:t>Daily feed of all published posts</w:t>
      </w:r>
    </w:p>
    <w:p>
      <w:pPr>
        <w:pStyle w:val="ListBullet"/>
      </w:pPr>
      <w:r>
        <w:rPr>
          <w:rFonts w:ascii="Calibri" w:hAnsi="Calibri"/>
          <w:color w:val="1E293B"/>
          <w:sz w:val="22"/>
        </w:rPr>
        <w:t>Browse by category (Global Market, Crypto, Calendar, News, Polymarket)</w:t>
      </w:r>
    </w:p>
    <w:p>
      <w:pPr>
        <w:pStyle w:val="ListBullet"/>
      </w:pPr>
      <w:r>
        <w:rPr>
          <w:rFonts w:ascii="Calibri" w:hAnsi="Calibri"/>
          <w:color w:val="1E293B"/>
          <w:sz w:val="22"/>
        </w:rPr>
        <w:t>Daily digest view</w:t>
      </w:r>
    </w:p>
    <w:p>
      <w:pPr>
        <w:pStyle w:val="ListBullet"/>
      </w:pPr>
      <w:r>
        <w:rPr>
          <w:rFonts w:ascii="Calibri" w:hAnsi="Calibri"/>
          <w:color w:val="1E293B"/>
          <w:sz w:val="22"/>
        </w:rPr>
        <w:t>Access policy: Lose ALL access when subscription expires — no archive access</w:t>
      </w:r>
    </w:p>
    <w:p>
      <w:pPr>
        <w:pStyle w:val="Heading2"/>
      </w:pPr>
      <w:r>
        <w:rPr>
          <w:rFonts w:ascii="Calibri" w:hAnsi="Calibri"/>
          <w:color w:val="1E40AF"/>
        </w:rPr>
        <w:t>D. Subscription &amp; Payments</w:t>
      </w:r>
    </w:p>
    <w:p>
      <w:pPr>
        <w:pStyle w:val="ListBullet"/>
      </w:pPr>
      <w:r>
        <w:rPr>
          <w:rFonts w:ascii="Calibri" w:hAnsi="Calibri"/>
          <w:color w:val="1E293B"/>
          <w:sz w:val="22"/>
        </w:rPr>
        <w:t>Single tier, monthly billing</w:t>
      </w:r>
    </w:p>
    <w:p>
      <w:pPr>
        <w:pStyle w:val="ListBullet"/>
      </w:pPr>
      <w:r>
        <w:rPr>
          <w:rFonts w:ascii="Calibri" w:hAnsi="Calibri"/>
          <w:color w:val="1E293B"/>
          <w:sz w:val="22"/>
        </w:rPr>
        <w:t>Payment via Xendit / Midtrans (Indonesian payment gateway)</w:t>
      </w:r>
    </w:p>
    <w:p>
      <w:pPr>
        <w:pStyle w:val="ListBullet"/>
      </w:pPr>
      <w:r>
        <w:rPr>
          <w:rFonts w:ascii="Calibri" w:hAnsi="Calibri"/>
          <w:color w:val="1E293B"/>
          <w:sz w:val="22"/>
        </w:rPr>
        <w:t>Supported: bank transfer, e-wallet (OVO, GoPay, Dana), virtual account, credit/debit card</w:t>
      </w:r>
    </w:p>
    <w:p>
      <w:pPr>
        <w:pStyle w:val="Heading2"/>
      </w:pPr>
      <w:r>
        <w:rPr>
          <w:rFonts w:ascii="Calibri" w:hAnsi="Calibri"/>
          <w:color w:val="1E40AF"/>
        </w:rPr>
        <w:t>E. Referral System</w:t>
      </w:r>
    </w:p>
    <w:p>
      <w:pPr>
        <w:pStyle w:val="ListBullet"/>
      </w:pPr>
      <w:r>
        <w:rPr>
          <w:rFonts w:ascii="Calibri" w:hAnsi="Calibri"/>
          <w:b/>
          <w:color w:val="1E293B"/>
          <w:sz w:val="22"/>
        </w:rPr>
        <w:t xml:space="preserve">Model: </w:t>
      </w:r>
      <w:r>
        <w:rPr>
          <w:rFonts w:ascii="Calibri" w:hAnsi="Calibri"/>
          <w:color w:val="1E293B"/>
          <w:sz w:val="22"/>
        </w:rPr>
        <w:t>Commission-based, one-time payout per successful referral</w:t>
      </w:r>
    </w:p>
    <w:p>
      <w:pPr>
        <w:pStyle w:val="ListBullet"/>
      </w:pPr>
      <w:r>
        <w:rPr>
          <w:rFonts w:ascii="Calibri" w:hAnsi="Calibri"/>
          <w:color w:val="1E293B"/>
          <w:sz w:val="22"/>
        </w:rPr>
        <w:t>Each registered user gets a unique referral link/code</w:t>
      </w:r>
    </w:p>
    <w:p>
      <w:pPr>
        <w:pStyle w:val="ListBullet"/>
      </w:pPr>
      <w:r>
        <w:rPr>
          <w:rFonts w:ascii="Calibri" w:hAnsi="Calibri"/>
          <w:color w:val="1E293B"/>
          <w:sz w:val="22"/>
        </w:rPr>
        <w:t>Referrer earns a fixed IDR amount when referred user completes first payment</w:t>
      </w:r>
    </w:p>
    <w:p>
      <w:pPr>
        <w:pStyle w:val="ListBullet"/>
      </w:pPr>
      <w:r>
        <w:rPr>
          <w:rFonts w:ascii="Calibri" w:hAnsi="Calibri"/>
          <w:color w:val="1E293B"/>
          <w:sz w:val="22"/>
        </w:rPr>
        <w:t>Commission amount configurable by admin</w:t>
      </w:r>
    </w:p>
    <w:p>
      <w:pPr>
        <w:pStyle w:val="Heading3"/>
      </w:pPr>
      <w:r>
        <w:rPr>
          <w:rFonts w:ascii="Calibri" w:hAnsi="Calibri"/>
          <w:color w:val="1E40AF"/>
        </w:rPr>
        <w:t>Referral Flow</w:t>
      </w:r>
    </w:p>
    <w:p>
      <w:pPr>
        <w:jc w:val="center"/>
      </w:pPr>
      <w:r>
        <w:drawing>
          <wp:inline xmlns:a="http://schemas.openxmlformats.org/drawingml/2006/main" xmlns:pic="http://schemas.openxmlformats.org/drawingml/2006/picture">
            <wp:extent cx="5029200" cy="361049"/>
            <wp:docPr id="2" name="Picture 2"/>
            <wp:cNvGraphicFramePr>
              <a:graphicFrameLocks noChangeAspect="1"/>
            </wp:cNvGraphicFramePr>
            <a:graphic>
              <a:graphicData uri="http://schemas.openxmlformats.org/drawingml/2006/picture">
                <pic:pic>
                  <pic:nvPicPr>
                    <pic:cNvPr id="0" name="referral-flow.png"/>
                    <pic:cNvPicPr/>
                  </pic:nvPicPr>
                  <pic:blipFill>
                    <a:blip r:embed="rId10"/>
                    <a:stretch>
                      <a:fillRect/>
                    </a:stretch>
                  </pic:blipFill>
                  <pic:spPr>
                    <a:xfrm>
                      <a:off x="0" y="0"/>
                      <a:ext cx="5029200" cy="361049"/>
                    </a:xfrm>
                    <a:prstGeom prst="rect"/>
                  </pic:spPr>
                </pic:pic>
              </a:graphicData>
            </a:graphic>
          </wp:inline>
        </w:drawing>
      </w:r>
    </w:p>
    <w:p>
      <w:pPr>
        <w:spacing w:after="320"/>
        <w:jc w:val="center"/>
      </w:pPr>
      <w:r>
        <w:rPr>
          <w:rFonts w:ascii="Calibri" w:hAnsi="Calibri"/>
          <w:i/>
          <w:color w:val="64748B"/>
          <w:sz w:val="18"/>
        </w:rPr>
        <w:t>Figure 2: Referral System Flow</w:t>
      </w:r>
    </w:p>
    <w:p>
      <w:r>
        <w:rPr>
          <w:rFonts w:ascii="Calibri" w:hAnsi="Calibri"/>
          <w:b/>
        </w:rPr>
        <w:t>Referral Dashboard (for referrers):</w:t>
      </w:r>
    </w:p>
    <w:p>
      <w:pPr>
        <w:pStyle w:val="ListBullet"/>
      </w:pPr>
      <w:r>
        <w:rPr>
          <w:rFonts w:ascii="Calibri" w:hAnsi="Calibri"/>
          <w:color w:val="1E293B"/>
          <w:sz w:val="22"/>
        </w:rPr>
        <w:t>Unique referral link + copy button</w:t>
      </w:r>
    </w:p>
    <w:p>
      <w:pPr>
        <w:pStyle w:val="ListBullet"/>
      </w:pPr>
      <w:r>
        <w:rPr>
          <w:rFonts w:ascii="Calibri" w:hAnsi="Calibri"/>
          <w:color w:val="1E293B"/>
          <w:sz w:val="22"/>
        </w:rPr>
        <w:t>Total people referred &amp; successful conversions</w:t>
      </w:r>
    </w:p>
    <w:p>
      <w:pPr>
        <w:pStyle w:val="ListBullet"/>
      </w:pPr>
      <w:r>
        <w:rPr>
          <w:rFonts w:ascii="Calibri" w:hAnsi="Calibri"/>
          <w:color w:val="1E293B"/>
          <w:sz w:val="22"/>
        </w:rPr>
        <w:t>Total earnings &amp; payout history</w:t>
      </w:r>
    </w:p>
    <w:p>
      <w:pPr>
        <w:pStyle w:val="Heading2"/>
      </w:pPr>
      <w:r>
        <w:rPr>
          <w:rFonts w:ascii="Calibri" w:hAnsi="Calibri"/>
          <w:color w:val="1E40AF"/>
        </w:rPr>
        <w:t>F. Landing Page</w:t>
      </w:r>
    </w:p>
    <w:p>
      <w:pPr>
        <w:pStyle w:val="ListBullet"/>
      </w:pPr>
      <w:r>
        <w:rPr>
          <w:rFonts w:ascii="Calibri" w:hAnsi="Calibri"/>
          <w:color w:val="1E293B"/>
          <w:sz w:val="22"/>
        </w:rPr>
        <w:t>Public marketing site to convert visitors into subscribers</w:t>
      </w:r>
    </w:p>
    <w:p>
      <w:pPr>
        <w:pStyle w:val="ListBullet"/>
      </w:pPr>
      <w:r>
        <w:rPr>
          <w:rFonts w:ascii="Calibri" w:hAnsi="Calibri"/>
          <w:color w:val="1E293B"/>
          <w:sz w:val="22"/>
        </w:rPr>
        <w:t>Platform value proposition &amp; content previews/teasers</w:t>
      </w:r>
    </w:p>
    <w:p>
      <w:pPr>
        <w:pStyle w:val="ListBullet"/>
      </w:pPr>
      <w:r>
        <w:rPr>
          <w:rFonts w:ascii="Calibri" w:hAnsi="Calibri"/>
          <w:color w:val="1E293B"/>
          <w:sz w:val="22"/>
        </w:rPr>
        <w:t>Pricing information &amp; sign-up CTA</w:t>
      </w:r>
    </w:p>
    <w:p>
      <w:pPr>
        <w:pStyle w:val="ListBullet"/>
      </w:pPr>
      <w:r>
        <w:rPr>
          <w:rFonts w:ascii="Calibri" w:hAnsi="Calibri"/>
          <w:color w:val="1E293B"/>
          <w:sz w:val="22"/>
        </w:rPr>
        <w:t>Referral link support — tracks which referrer brought the visitor</w:t>
      </w:r>
    </w:p>
    <w:p>
      <w:r>
        <w:br w:type="page"/>
      </w:r>
    </w:p>
    <w:p>
      <w:pPr>
        <w:pStyle w:val="Heading1"/>
      </w:pPr>
      <w:r>
        <w:rPr>
          <w:rFonts w:ascii="Calibri" w:hAnsi="Calibri"/>
          <w:color w:val="0F172A"/>
        </w:rPr>
        <w:t>4. User Flows</w:t>
      </w:r>
    </w:p>
    <w:p>
      <w:pPr>
        <w:spacing w:before="0" w:after="240"/>
        <w:pBdr>
          <w:bottom w:val="single" w:sz="12" w:space="1" w:color="3B82F6"/>
        </w:pBdr>
      </w:pPr>
    </w:p>
    <w:p>
      <w:pPr>
        <w:pStyle w:val="Heading2"/>
      </w:pPr>
      <w:r>
        <w:rPr>
          <w:rFonts w:ascii="Calibri" w:hAnsi="Calibri"/>
          <w:color w:val="1E40AF"/>
        </w:rPr>
        <w:t>Flow A: New Subscriber</w:t>
      </w:r>
    </w:p>
    <w:p>
      <w:pPr>
        <w:jc w:val="center"/>
      </w:pPr>
      <w:r>
        <w:drawing>
          <wp:inline xmlns:a="http://schemas.openxmlformats.org/drawingml/2006/main" xmlns:pic="http://schemas.openxmlformats.org/drawingml/2006/picture">
            <wp:extent cx="5029200" cy="11180453"/>
            <wp:docPr id="3" name="Picture 3"/>
            <wp:cNvGraphicFramePr>
              <a:graphicFrameLocks noChangeAspect="1"/>
            </wp:cNvGraphicFramePr>
            <a:graphic>
              <a:graphicData uri="http://schemas.openxmlformats.org/drawingml/2006/picture">
                <pic:pic>
                  <pic:nvPicPr>
                    <pic:cNvPr id="0" name="flow-a-new-subscriber.png"/>
                    <pic:cNvPicPr/>
                  </pic:nvPicPr>
                  <pic:blipFill>
                    <a:blip r:embed="rId11"/>
                    <a:stretch>
                      <a:fillRect/>
                    </a:stretch>
                  </pic:blipFill>
                  <pic:spPr>
                    <a:xfrm>
                      <a:off x="0" y="0"/>
                      <a:ext cx="5029200" cy="11180453"/>
                    </a:xfrm>
                    <a:prstGeom prst="rect"/>
                  </pic:spPr>
                </pic:pic>
              </a:graphicData>
            </a:graphic>
          </wp:inline>
        </w:drawing>
      </w:r>
    </w:p>
    <w:p>
      <w:pPr>
        <w:spacing w:after="320"/>
        <w:jc w:val="center"/>
      </w:pPr>
      <w:r>
        <w:rPr>
          <w:rFonts w:ascii="Calibri" w:hAnsi="Calibri"/>
          <w:i/>
          <w:color w:val="64748B"/>
          <w:sz w:val="18"/>
        </w:rPr>
        <w:t>Figure 3: New Subscriber Registration Flow</w:t>
      </w:r>
    </w:p>
    <w:p>
      <w:pPr>
        <w:pStyle w:val="Heading2"/>
      </w:pPr>
      <w:r>
        <w:rPr>
          <w:rFonts w:ascii="Calibri" w:hAnsi="Calibri"/>
          <w:color w:val="1E40AF"/>
        </w:rPr>
        <w:t>Flow B: Referred Subscriber</w:t>
      </w:r>
    </w:p>
    <w:p>
      <w:pPr>
        <w:jc w:val="center"/>
      </w:pPr>
      <w:r>
        <w:drawing>
          <wp:inline xmlns:a="http://schemas.openxmlformats.org/drawingml/2006/main" xmlns:pic="http://schemas.openxmlformats.org/drawingml/2006/picture">
            <wp:extent cx="5029200" cy="5703849"/>
            <wp:docPr id="4" name="Picture 4"/>
            <wp:cNvGraphicFramePr>
              <a:graphicFrameLocks noChangeAspect="1"/>
            </wp:cNvGraphicFramePr>
            <a:graphic>
              <a:graphicData uri="http://schemas.openxmlformats.org/drawingml/2006/picture">
                <pic:pic>
                  <pic:nvPicPr>
                    <pic:cNvPr id="0" name="flow-b-referred-subscriber.png"/>
                    <pic:cNvPicPr/>
                  </pic:nvPicPr>
                  <pic:blipFill>
                    <a:blip r:embed="rId12"/>
                    <a:stretch>
                      <a:fillRect/>
                    </a:stretch>
                  </pic:blipFill>
                  <pic:spPr>
                    <a:xfrm>
                      <a:off x="0" y="0"/>
                      <a:ext cx="5029200" cy="5703849"/>
                    </a:xfrm>
                    <a:prstGeom prst="rect"/>
                  </pic:spPr>
                </pic:pic>
              </a:graphicData>
            </a:graphic>
          </wp:inline>
        </w:drawing>
      </w:r>
    </w:p>
    <w:p>
      <w:pPr>
        <w:spacing w:after="320"/>
        <w:jc w:val="center"/>
      </w:pPr>
      <w:r>
        <w:rPr>
          <w:rFonts w:ascii="Calibri" w:hAnsi="Calibri"/>
          <w:i/>
          <w:color w:val="64748B"/>
          <w:sz w:val="18"/>
        </w:rPr>
        <w:t>Figure 4: Referred Subscriber Flow</w:t>
      </w:r>
    </w:p>
    <w:p>
      <w:pPr>
        <w:pStyle w:val="Heading2"/>
      </w:pPr>
      <w:r>
        <w:rPr>
          <w:rFonts w:ascii="Calibri" w:hAnsi="Calibri"/>
          <w:color w:val="1E40AF"/>
        </w:rPr>
        <w:t>Flow C: Subscription Renewal / Expiry</w:t>
      </w:r>
    </w:p>
    <w:p>
      <w:pPr>
        <w:jc w:val="center"/>
      </w:pPr>
      <w:r>
        <w:drawing>
          <wp:inline xmlns:a="http://schemas.openxmlformats.org/drawingml/2006/main" xmlns:pic="http://schemas.openxmlformats.org/drawingml/2006/picture">
            <wp:extent cx="5029200" cy="6238468"/>
            <wp:docPr id="5" name="Picture 5"/>
            <wp:cNvGraphicFramePr>
              <a:graphicFrameLocks noChangeAspect="1"/>
            </wp:cNvGraphicFramePr>
            <a:graphic>
              <a:graphicData uri="http://schemas.openxmlformats.org/drawingml/2006/picture">
                <pic:pic>
                  <pic:nvPicPr>
                    <pic:cNvPr id="0" name="flow-c-renewal.png"/>
                    <pic:cNvPicPr/>
                  </pic:nvPicPr>
                  <pic:blipFill>
                    <a:blip r:embed="rId13"/>
                    <a:stretch>
                      <a:fillRect/>
                    </a:stretch>
                  </pic:blipFill>
                  <pic:spPr>
                    <a:xfrm>
                      <a:off x="0" y="0"/>
                      <a:ext cx="5029200" cy="6238468"/>
                    </a:xfrm>
                    <a:prstGeom prst="rect"/>
                  </pic:spPr>
                </pic:pic>
              </a:graphicData>
            </a:graphic>
          </wp:inline>
        </w:drawing>
      </w:r>
    </w:p>
    <w:p>
      <w:pPr>
        <w:spacing w:after="320"/>
        <w:jc w:val="center"/>
      </w:pPr>
      <w:r>
        <w:rPr>
          <w:rFonts w:ascii="Calibri" w:hAnsi="Calibri"/>
          <w:i/>
          <w:color w:val="64748B"/>
          <w:sz w:val="18"/>
        </w:rPr>
        <w:t>Figure 5: Subscription Renewal / Expiry Flow</w:t>
      </w:r>
    </w:p>
    <w:p>
      <w:r>
        <w:br w:type="page"/>
      </w:r>
    </w:p>
    <w:p>
      <w:pPr>
        <w:pStyle w:val="Heading2"/>
      </w:pPr>
      <w:r>
        <w:rPr>
          <w:rFonts w:ascii="Calibri" w:hAnsi="Calibri"/>
          <w:color w:val="1E40AF"/>
        </w:rPr>
        <w:t>Flow D: Author Publishing</w:t>
      </w:r>
    </w:p>
    <w:p>
      <w:pPr>
        <w:jc w:val="center"/>
      </w:pPr>
      <w:r>
        <w:drawing>
          <wp:inline xmlns:a="http://schemas.openxmlformats.org/drawingml/2006/main" xmlns:pic="http://schemas.openxmlformats.org/drawingml/2006/picture">
            <wp:extent cx="5029200" cy="8797884"/>
            <wp:docPr id="6" name="Picture 6"/>
            <wp:cNvGraphicFramePr>
              <a:graphicFrameLocks noChangeAspect="1"/>
            </wp:cNvGraphicFramePr>
            <a:graphic>
              <a:graphicData uri="http://schemas.openxmlformats.org/drawingml/2006/picture">
                <pic:pic>
                  <pic:nvPicPr>
                    <pic:cNvPr id="0" name="flow-d-author-publishing.png"/>
                    <pic:cNvPicPr/>
                  </pic:nvPicPr>
                  <pic:blipFill>
                    <a:blip r:embed="rId14"/>
                    <a:stretch>
                      <a:fillRect/>
                    </a:stretch>
                  </pic:blipFill>
                  <pic:spPr>
                    <a:xfrm>
                      <a:off x="0" y="0"/>
                      <a:ext cx="5029200" cy="8797884"/>
                    </a:xfrm>
                    <a:prstGeom prst="rect"/>
                  </pic:spPr>
                </pic:pic>
              </a:graphicData>
            </a:graphic>
          </wp:inline>
        </w:drawing>
      </w:r>
    </w:p>
    <w:p>
      <w:pPr>
        <w:spacing w:after="320"/>
        <w:jc w:val="center"/>
      </w:pPr>
      <w:r>
        <w:rPr>
          <w:rFonts w:ascii="Calibri" w:hAnsi="Calibri"/>
          <w:i/>
          <w:color w:val="64748B"/>
          <w:sz w:val="18"/>
        </w:rPr>
        <w:t>Figure 6: Author Publishing Flow</w:t>
      </w:r>
    </w:p>
    <w:p>
      <w:pPr>
        <w:pStyle w:val="Heading2"/>
      </w:pPr>
      <w:r>
        <w:rPr>
          <w:rFonts w:ascii="Calibri" w:hAnsi="Calibri"/>
          <w:color w:val="1E40AF"/>
        </w:rPr>
        <w:t>Flow E: Auto News Recycling</w:t>
      </w:r>
    </w:p>
    <w:p>
      <w:pPr>
        <w:jc w:val="center"/>
      </w:pPr>
      <w:r>
        <w:drawing>
          <wp:inline xmlns:a="http://schemas.openxmlformats.org/drawingml/2006/main" xmlns:pic="http://schemas.openxmlformats.org/drawingml/2006/picture">
            <wp:extent cx="5029200" cy="13139242"/>
            <wp:docPr id="7" name="Picture 7"/>
            <wp:cNvGraphicFramePr>
              <a:graphicFrameLocks noChangeAspect="1"/>
            </wp:cNvGraphicFramePr>
            <a:graphic>
              <a:graphicData uri="http://schemas.openxmlformats.org/drawingml/2006/picture">
                <pic:pic>
                  <pic:nvPicPr>
                    <pic:cNvPr id="0" name="flow-e-news-recycler.png"/>
                    <pic:cNvPicPr/>
                  </pic:nvPicPr>
                  <pic:blipFill>
                    <a:blip r:embed="rId9"/>
                    <a:stretch>
                      <a:fillRect/>
                    </a:stretch>
                  </pic:blipFill>
                  <pic:spPr>
                    <a:xfrm>
                      <a:off x="0" y="0"/>
                      <a:ext cx="5029200" cy="13139242"/>
                    </a:xfrm>
                    <a:prstGeom prst="rect"/>
                  </pic:spPr>
                </pic:pic>
              </a:graphicData>
            </a:graphic>
          </wp:inline>
        </w:drawing>
      </w:r>
    </w:p>
    <w:p>
      <w:pPr>
        <w:spacing w:after="320"/>
        <w:jc w:val="center"/>
      </w:pPr>
      <w:r>
        <w:rPr>
          <w:rFonts w:ascii="Calibri" w:hAnsi="Calibri"/>
          <w:i/>
          <w:color w:val="64748B"/>
          <w:sz w:val="18"/>
        </w:rPr>
        <w:t>Figure 7: Auto News Recycling Pipeline</w:t>
      </w:r>
    </w:p>
    <w:p>
      <w:pPr>
        <w:pStyle w:val="Heading2"/>
      </w:pPr>
      <w:r>
        <w:rPr>
          <w:rFonts w:ascii="Calibri" w:hAnsi="Calibri"/>
          <w:color w:val="1E40AF"/>
        </w:rPr>
        <w:t>Flow F: Daily Digest Generation</w:t>
      </w:r>
    </w:p>
    <w:p>
      <w:pPr>
        <w:jc w:val="center"/>
      </w:pPr>
      <w:r>
        <w:drawing>
          <wp:inline xmlns:a="http://schemas.openxmlformats.org/drawingml/2006/main" xmlns:pic="http://schemas.openxmlformats.org/drawingml/2006/picture">
            <wp:extent cx="5029200" cy="8709991"/>
            <wp:docPr id="8" name="Picture 8"/>
            <wp:cNvGraphicFramePr>
              <a:graphicFrameLocks noChangeAspect="1"/>
            </wp:cNvGraphicFramePr>
            <a:graphic>
              <a:graphicData uri="http://schemas.openxmlformats.org/drawingml/2006/picture">
                <pic:pic>
                  <pic:nvPicPr>
                    <pic:cNvPr id="0" name="flow-f-daily-digest.png"/>
                    <pic:cNvPicPr/>
                  </pic:nvPicPr>
                  <pic:blipFill>
                    <a:blip r:embed="rId15"/>
                    <a:stretch>
                      <a:fillRect/>
                    </a:stretch>
                  </pic:blipFill>
                  <pic:spPr>
                    <a:xfrm>
                      <a:off x="0" y="0"/>
                      <a:ext cx="5029200" cy="8709991"/>
                    </a:xfrm>
                    <a:prstGeom prst="rect"/>
                  </pic:spPr>
                </pic:pic>
              </a:graphicData>
            </a:graphic>
          </wp:inline>
        </w:drawing>
      </w:r>
    </w:p>
    <w:p>
      <w:pPr>
        <w:spacing w:after="320"/>
        <w:jc w:val="center"/>
      </w:pPr>
      <w:r>
        <w:rPr>
          <w:rFonts w:ascii="Calibri" w:hAnsi="Calibri"/>
          <w:i/>
          <w:color w:val="64748B"/>
          <w:sz w:val="18"/>
        </w:rPr>
        <w:t>Figure 8: Daily Digest Generation Flow</w:t>
      </w:r>
    </w:p>
    <w:p>
      <w:r>
        <w:br w:type="page"/>
      </w:r>
    </w:p>
    <w:p>
      <w:pPr>
        <w:pStyle w:val="Heading1"/>
      </w:pPr>
      <w:r>
        <w:rPr>
          <w:rFonts w:ascii="Calibri" w:hAnsi="Calibri"/>
          <w:color w:val="0F172A"/>
        </w:rPr>
        <w:t>5. User Roles &amp; Permissions</w:t>
      </w:r>
    </w:p>
    <w:p>
      <w:pPr>
        <w:spacing w:before="0" w:after="240"/>
        <w:pBdr>
          <w:bottom w:val="single" w:sz="12" w:space="1" w:color="3B82F6"/>
        </w:pBdr>
      </w:pP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2160"/>
            <w:shd w:fill="0F172A"/>
          </w:tcPr>
          <w:p>
            <w:pPr>
              <w:jc w:val="left"/>
            </w:pPr>
            <w:r/>
            <w:r>
              <w:rPr>
                <w:rFonts w:ascii="Calibri" w:hAnsi="Calibri"/>
                <w:b/>
                <w:color w:val="FFFFFF"/>
                <w:sz w:val="20"/>
              </w:rPr>
              <w:t>Role</w:t>
            </w:r>
          </w:p>
        </w:tc>
        <w:tc>
          <w:tcPr>
            <w:tcW w:type="dxa" w:w="7200"/>
            <w:shd w:fill="0F172A"/>
          </w:tcPr>
          <w:p>
            <w:pPr>
              <w:jc w:val="left"/>
            </w:pPr>
            <w:r/>
            <w:r>
              <w:rPr>
                <w:rFonts w:ascii="Calibri" w:hAnsi="Calibri"/>
                <w:b/>
                <w:color w:val="FFFFFF"/>
                <w:sz w:val="20"/>
              </w:rPr>
              <w:t>Capabilities</w:t>
            </w:r>
          </w:p>
        </w:tc>
      </w:tr>
      <w:tr>
        <w:tc>
          <w:tcPr>
            <w:tcW w:type="dxa" w:w="2160"/>
            <w:shd w:fill="F8FAFC"/>
          </w:tcPr>
          <w:p>
            <w:r/>
            <w:r>
              <w:rPr>
                <w:rFonts w:ascii="Calibri" w:hAnsi="Calibri"/>
                <w:color w:val="1E293B"/>
                <w:sz w:val="20"/>
              </w:rPr>
              <w:t>Subscriber</w:t>
            </w:r>
          </w:p>
        </w:tc>
        <w:tc>
          <w:tcPr>
            <w:tcW w:type="dxa" w:w="7200"/>
            <w:shd w:fill="F8FAFC"/>
          </w:tcPr>
          <w:p>
            <w:r/>
            <w:r>
              <w:rPr>
                <w:rFonts w:ascii="Calibri" w:hAnsi="Calibri"/>
                <w:color w:val="1E293B"/>
                <w:sz w:val="20"/>
              </w:rPr>
              <w:t>View posts, browse by category, view daily digest, manage own subscription, share referral link, view referral dashboard</w:t>
            </w:r>
          </w:p>
        </w:tc>
      </w:tr>
      <w:tr>
        <w:tc>
          <w:tcPr>
            <w:tcW w:type="dxa" w:w="2160"/>
            <w:shd w:fill="FFFFFF"/>
          </w:tcPr>
          <w:p>
            <w:r/>
            <w:r>
              <w:rPr>
                <w:rFonts w:ascii="Calibri" w:hAnsi="Calibri"/>
                <w:color w:val="1E293B"/>
                <w:sz w:val="20"/>
              </w:rPr>
              <w:t>Author</w:t>
            </w:r>
          </w:p>
        </w:tc>
        <w:tc>
          <w:tcPr>
            <w:tcW w:type="dxa" w:w="7200"/>
            <w:shd w:fill="FFFFFF"/>
          </w:tcPr>
          <w:p>
            <w:r/>
            <w:r>
              <w:rPr>
                <w:rFonts w:ascii="Calibri" w:hAnsi="Calibri"/>
                <w:color w:val="1E293B"/>
                <w:sz w:val="20"/>
              </w:rPr>
              <w:t>All subscriber capabilities + create/edit/publish posts, review auto-recycled news in queue, manage drafts, schedule posts</w:t>
            </w:r>
          </w:p>
        </w:tc>
      </w:tr>
      <w:tr>
        <w:tc>
          <w:tcPr>
            <w:tcW w:type="dxa" w:w="2160"/>
            <w:shd w:fill="F8FAFC"/>
          </w:tcPr>
          <w:p>
            <w:r/>
            <w:r>
              <w:rPr>
                <w:rFonts w:ascii="Calibri" w:hAnsi="Calibri"/>
                <w:color w:val="1E293B"/>
                <w:sz w:val="20"/>
              </w:rPr>
              <w:t>Admin</w:t>
            </w:r>
          </w:p>
        </w:tc>
        <w:tc>
          <w:tcPr>
            <w:tcW w:type="dxa" w:w="7200"/>
            <w:shd w:fill="F8FAFC"/>
          </w:tcPr>
          <w:p>
            <w:r/>
            <w:r>
              <w:rPr>
                <w:rFonts w:ascii="Calibri" w:hAnsi="Calibri"/>
                <w:color w:val="1E293B"/>
                <w:sz w:val="20"/>
              </w:rPr>
              <w:t>All author capabilities + manage users &amp; authors, set subscription pricing, configure referral commissions, manage payouts, configure news sources</w:t>
            </w:r>
          </w:p>
        </w:tc>
      </w:tr>
    </w:tbl>
    <w:p/>
    <w:p>
      <w:pPr>
        <w:pStyle w:val="Heading1"/>
      </w:pPr>
      <w:r>
        <w:rPr>
          <w:rFonts w:ascii="Calibri" w:hAnsi="Calibri"/>
          <w:color w:val="0F172A"/>
        </w:rPr>
        <w:t>6. Key Screens</w:t>
      </w:r>
    </w:p>
    <w:p>
      <w:pPr>
        <w:spacing w:before="0" w:after="240"/>
        <w:pBdr>
          <w:bottom w:val="single" w:sz="12" w:space="1" w:color="3B82F6"/>
        </w:pBdr>
      </w:pP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35"/>
        <w:gridCol w:w="3135"/>
        <w:gridCol w:w="3135"/>
      </w:tblGrid>
      <w:tr>
        <w:tc>
          <w:tcPr>
            <w:tcW w:type="dxa" w:w="576"/>
            <w:shd w:fill="0F172A"/>
          </w:tcPr>
          <w:p>
            <w:pPr>
              <w:jc w:val="left"/>
            </w:pPr>
            <w:r/>
            <w:r>
              <w:rPr>
                <w:rFonts w:ascii="Calibri" w:hAnsi="Calibri"/>
                <w:b/>
                <w:color w:val="FFFFFF"/>
                <w:sz w:val="20"/>
              </w:rPr>
              <w:t>#</w:t>
            </w:r>
          </w:p>
        </w:tc>
        <w:tc>
          <w:tcPr>
            <w:tcW w:type="dxa" w:w="2592"/>
            <w:shd w:fill="0F172A"/>
          </w:tcPr>
          <w:p>
            <w:pPr>
              <w:jc w:val="left"/>
            </w:pPr>
            <w:r/>
            <w:r>
              <w:rPr>
                <w:rFonts w:ascii="Calibri" w:hAnsi="Calibri"/>
                <w:b/>
                <w:color w:val="FFFFFF"/>
                <w:sz w:val="20"/>
              </w:rPr>
              <w:t>Screen</w:t>
            </w:r>
          </w:p>
        </w:tc>
        <w:tc>
          <w:tcPr>
            <w:tcW w:type="dxa" w:w="6192"/>
            <w:shd w:fill="0F172A"/>
          </w:tcPr>
          <w:p>
            <w:pPr>
              <w:jc w:val="left"/>
            </w:pPr>
            <w:r/>
            <w:r>
              <w:rPr>
                <w:rFonts w:ascii="Calibri" w:hAnsi="Calibri"/>
                <w:b/>
                <w:color w:val="FFFFFF"/>
                <w:sz w:val="20"/>
              </w:rPr>
              <w:t>Description</w:t>
            </w:r>
          </w:p>
        </w:tc>
      </w:tr>
      <w:tr>
        <w:tc>
          <w:tcPr>
            <w:tcW w:type="dxa" w:w="576"/>
            <w:shd w:fill="F8FAFC"/>
          </w:tcPr>
          <w:p>
            <w:r/>
            <w:r>
              <w:rPr>
                <w:rFonts w:ascii="Calibri" w:hAnsi="Calibri"/>
                <w:color w:val="1E293B"/>
                <w:sz w:val="20"/>
              </w:rPr>
              <w:t>1</w:t>
            </w:r>
          </w:p>
        </w:tc>
        <w:tc>
          <w:tcPr>
            <w:tcW w:type="dxa" w:w="2592"/>
            <w:shd w:fill="F8FAFC"/>
          </w:tcPr>
          <w:p>
            <w:r/>
            <w:r>
              <w:rPr>
                <w:rFonts w:ascii="Calibri" w:hAnsi="Calibri"/>
                <w:color w:val="1E293B"/>
                <w:sz w:val="20"/>
              </w:rPr>
              <w:t>Landing Page</w:t>
            </w:r>
          </w:p>
        </w:tc>
        <w:tc>
          <w:tcPr>
            <w:tcW w:type="dxa" w:w="6192"/>
            <w:shd w:fill="F8FAFC"/>
          </w:tcPr>
          <w:p>
            <w:r/>
            <w:r>
              <w:rPr>
                <w:rFonts w:ascii="Calibri" w:hAnsi="Calibri"/>
                <w:color w:val="1E293B"/>
                <w:sz w:val="20"/>
              </w:rPr>
              <w:t>Marketing site — value prop, pricing, sign-up CTA, referral support</w:t>
            </w:r>
          </w:p>
        </w:tc>
      </w:tr>
      <w:tr>
        <w:tc>
          <w:tcPr>
            <w:tcW w:type="dxa" w:w="576"/>
            <w:shd w:fill="FFFFFF"/>
          </w:tcPr>
          <w:p>
            <w:r/>
            <w:r>
              <w:rPr>
                <w:rFonts w:ascii="Calibri" w:hAnsi="Calibri"/>
                <w:color w:val="1E293B"/>
                <w:sz w:val="20"/>
              </w:rPr>
              <w:t>2</w:t>
            </w:r>
          </w:p>
        </w:tc>
        <w:tc>
          <w:tcPr>
            <w:tcW w:type="dxa" w:w="2592"/>
            <w:shd w:fill="FFFFFF"/>
          </w:tcPr>
          <w:p>
            <w:r/>
            <w:r>
              <w:rPr>
                <w:rFonts w:ascii="Calibri" w:hAnsi="Calibri"/>
                <w:color w:val="1E293B"/>
                <w:sz w:val="20"/>
              </w:rPr>
              <w:t>Auth Pages</w:t>
            </w:r>
          </w:p>
        </w:tc>
        <w:tc>
          <w:tcPr>
            <w:tcW w:type="dxa" w:w="6192"/>
            <w:shd w:fill="FFFFFF"/>
          </w:tcPr>
          <w:p>
            <w:r/>
            <w:r>
              <w:rPr>
                <w:rFonts w:ascii="Calibri" w:hAnsi="Calibri"/>
                <w:color w:val="1E293B"/>
                <w:sz w:val="20"/>
              </w:rPr>
              <w:t>Sign up, login, forgot password, reset password</w:t>
            </w:r>
          </w:p>
        </w:tc>
      </w:tr>
      <w:tr>
        <w:tc>
          <w:tcPr>
            <w:tcW w:type="dxa" w:w="576"/>
            <w:shd w:fill="F8FAFC"/>
          </w:tcPr>
          <w:p>
            <w:r/>
            <w:r>
              <w:rPr>
                <w:rFonts w:ascii="Calibri" w:hAnsi="Calibri"/>
                <w:color w:val="1E293B"/>
                <w:sz w:val="20"/>
              </w:rPr>
              <w:t>3</w:t>
            </w:r>
          </w:p>
        </w:tc>
        <w:tc>
          <w:tcPr>
            <w:tcW w:type="dxa" w:w="2592"/>
            <w:shd w:fill="F8FAFC"/>
          </w:tcPr>
          <w:p>
            <w:r/>
            <w:r>
              <w:rPr>
                <w:rFonts w:ascii="Calibri" w:hAnsi="Calibri"/>
                <w:color w:val="1E293B"/>
                <w:sz w:val="20"/>
              </w:rPr>
              <w:t>Subscriber Feed</w:t>
            </w:r>
          </w:p>
        </w:tc>
        <w:tc>
          <w:tcPr>
            <w:tcW w:type="dxa" w:w="6192"/>
            <w:shd w:fill="F8FAFC"/>
          </w:tcPr>
          <w:p>
            <w:r/>
            <w:r>
              <w:rPr>
                <w:rFonts w:ascii="Calibri" w:hAnsi="Calibri"/>
                <w:color w:val="1E293B"/>
                <w:sz w:val="20"/>
              </w:rPr>
              <w:t>Daily posts feed with category filters</w:t>
            </w:r>
          </w:p>
        </w:tc>
      </w:tr>
      <w:tr>
        <w:tc>
          <w:tcPr>
            <w:tcW w:type="dxa" w:w="576"/>
            <w:shd w:fill="FFFFFF"/>
          </w:tcPr>
          <w:p>
            <w:r/>
            <w:r>
              <w:rPr>
                <w:rFonts w:ascii="Calibri" w:hAnsi="Calibri"/>
                <w:color w:val="1E293B"/>
                <w:sz w:val="20"/>
              </w:rPr>
              <w:t>4</w:t>
            </w:r>
          </w:p>
        </w:tc>
        <w:tc>
          <w:tcPr>
            <w:tcW w:type="dxa" w:w="2592"/>
            <w:shd w:fill="FFFFFF"/>
          </w:tcPr>
          <w:p>
            <w:r/>
            <w:r>
              <w:rPr>
                <w:rFonts w:ascii="Calibri" w:hAnsi="Calibri"/>
                <w:color w:val="1E293B"/>
                <w:sz w:val="20"/>
              </w:rPr>
              <w:t>Daily Digest</w:t>
            </w:r>
          </w:p>
        </w:tc>
        <w:tc>
          <w:tcPr>
            <w:tcW w:type="dxa" w:w="6192"/>
            <w:shd w:fill="FFFFFF"/>
          </w:tcPr>
          <w:p>
            <w:r/>
            <w:r>
              <w:rPr>
                <w:rFonts w:ascii="Calibri" w:hAnsi="Calibri"/>
                <w:color w:val="1E293B"/>
                <w:sz w:val="20"/>
              </w:rPr>
              <w:t>Combined summary of all categories for the day</w:t>
            </w:r>
          </w:p>
        </w:tc>
      </w:tr>
      <w:tr>
        <w:tc>
          <w:tcPr>
            <w:tcW w:type="dxa" w:w="576"/>
            <w:shd w:fill="F8FAFC"/>
          </w:tcPr>
          <w:p>
            <w:r/>
            <w:r>
              <w:rPr>
                <w:rFonts w:ascii="Calibri" w:hAnsi="Calibri"/>
                <w:color w:val="1E293B"/>
                <w:sz w:val="20"/>
              </w:rPr>
              <w:t>5</w:t>
            </w:r>
          </w:p>
        </w:tc>
        <w:tc>
          <w:tcPr>
            <w:tcW w:type="dxa" w:w="2592"/>
            <w:shd w:fill="F8FAFC"/>
          </w:tcPr>
          <w:p>
            <w:r/>
            <w:r>
              <w:rPr>
                <w:rFonts w:ascii="Calibri" w:hAnsi="Calibri"/>
                <w:color w:val="1E293B"/>
                <w:sz w:val="20"/>
              </w:rPr>
              <w:t>Post Detail</w:t>
            </w:r>
          </w:p>
        </w:tc>
        <w:tc>
          <w:tcPr>
            <w:tcW w:type="dxa" w:w="6192"/>
            <w:shd w:fill="F8FAFC"/>
          </w:tcPr>
          <w:p>
            <w:r/>
            <w:r>
              <w:rPr>
                <w:rFonts w:ascii="Calibri" w:hAnsi="Calibri"/>
                <w:color w:val="1E293B"/>
                <w:sz w:val="20"/>
              </w:rPr>
              <w:t>Full article view with category tag</w:t>
            </w:r>
          </w:p>
        </w:tc>
      </w:tr>
      <w:tr>
        <w:tc>
          <w:tcPr>
            <w:tcW w:type="dxa" w:w="576"/>
            <w:shd w:fill="FFFFFF"/>
          </w:tcPr>
          <w:p>
            <w:r/>
            <w:r>
              <w:rPr>
                <w:rFonts w:ascii="Calibri" w:hAnsi="Calibri"/>
                <w:color w:val="1E293B"/>
                <w:sz w:val="20"/>
              </w:rPr>
              <w:t>6</w:t>
            </w:r>
          </w:p>
        </w:tc>
        <w:tc>
          <w:tcPr>
            <w:tcW w:type="dxa" w:w="2592"/>
            <w:shd w:fill="FFFFFF"/>
          </w:tcPr>
          <w:p>
            <w:r/>
            <w:r>
              <w:rPr>
                <w:rFonts w:ascii="Calibri" w:hAnsi="Calibri"/>
                <w:color w:val="1E293B"/>
                <w:sz w:val="20"/>
              </w:rPr>
              <w:t>Author Dashboard</w:t>
            </w:r>
          </w:p>
        </w:tc>
        <w:tc>
          <w:tcPr>
            <w:tcW w:type="dxa" w:w="6192"/>
            <w:shd w:fill="FFFFFF"/>
          </w:tcPr>
          <w:p>
            <w:r/>
            <w:r>
              <w:rPr>
                <w:rFonts w:ascii="Calibri" w:hAnsi="Calibri"/>
                <w:color w:val="1E293B"/>
                <w:sz w:val="20"/>
              </w:rPr>
              <w:t>Create/manage posts, view drafts, access review queue</w:t>
            </w:r>
          </w:p>
        </w:tc>
      </w:tr>
      <w:tr>
        <w:tc>
          <w:tcPr>
            <w:tcW w:type="dxa" w:w="576"/>
            <w:shd w:fill="F8FAFC"/>
          </w:tcPr>
          <w:p>
            <w:r/>
            <w:r>
              <w:rPr>
                <w:rFonts w:ascii="Calibri" w:hAnsi="Calibri"/>
                <w:color w:val="1E293B"/>
                <w:sz w:val="20"/>
              </w:rPr>
              <w:t>7</w:t>
            </w:r>
          </w:p>
        </w:tc>
        <w:tc>
          <w:tcPr>
            <w:tcW w:type="dxa" w:w="2592"/>
            <w:shd w:fill="F8FAFC"/>
          </w:tcPr>
          <w:p>
            <w:r/>
            <w:r>
              <w:rPr>
                <w:rFonts w:ascii="Calibri" w:hAnsi="Calibri"/>
                <w:color w:val="1E293B"/>
                <w:sz w:val="20"/>
              </w:rPr>
              <w:t>Review Queue</w:t>
            </w:r>
          </w:p>
        </w:tc>
        <w:tc>
          <w:tcPr>
            <w:tcW w:type="dxa" w:w="6192"/>
            <w:shd w:fill="F8FAFC"/>
          </w:tcPr>
          <w:p>
            <w:r/>
            <w:r>
              <w:rPr>
                <w:rFonts w:ascii="Calibri" w:hAnsi="Calibri"/>
                <w:color w:val="1E293B"/>
                <w:sz w:val="20"/>
              </w:rPr>
              <w:t>Auto-recycled news awaiting approval — approve/reject/edit</w:t>
            </w:r>
          </w:p>
        </w:tc>
      </w:tr>
      <w:tr>
        <w:tc>
          <w:tcPr>
            <w:tcW w:type="dxa" w:w="576"/>
            <w:shd w:fill="FFFFFF"/>
          </w:tcPr>
          <w:p>
            <w:r/>
            <w:r>
              <w:rPr>
                <w:rFonts w:ascii="Calibri" w:hAnsi="Calibri"/>
                <w:color w:val="1E293B"/>
                <w:sz w:val="20"/>
              </w:rPr>
              <w:t>8</w:t>
            </w:r>
          </w:p>
        </w:tc>
        <w:tc>
          <w:tcPr>
            <w:tcW w:type="dxa" w:w="2592"/>
            <w:shd w:fill="FFFFFF"/>
          </w:tcPr>
          <w:p>
            <w:r/>
            <w:r>
              <w:rPr>
                <w:rFonts w:ascii="Calibri" w:hAnsi="Calibri"/>
                <w:color w:val="1E293B"/>
                <w:sz w:val="20"/>
              </w:rPr>
              <w:t>Referral Dashboard</w:t>
            </w:r>
          </w:p>
        </w:tc>
        <w:tc>
          <w:tcPr>
            <w:tcW w:type="dxa" w:w="6192"/>
            <w:shd w:fill="FFFFFF"/>
          </w:tcPr>
          <w:p>
            <w:r/>
            <w:r>
              <w:rPr>
                <w:rFonts w:ascii="Calibri" w:hAnsi="Calibri"/>
                <w:color w:val="1E293B"/>
                <w:sz w:val="20"/>
              </w:rPr>
              <w:t>Referral link, stats, conversions, earnings, payout history</w:t>
            </w:r>
          </w:p>
        </w:tc>
      </w:tr>
      <w:tr>
        <w:tc>
          <w:tcPr>
            <w:tcW w:type="dxa" w:w="576"/>
            <w:shd w:fill="F8FAFC"/>
          </w:tcPr>
          <w:p>
            <w:r/>
            <w:r>
              <w:rPr>
                <w:rFonts w:ascii="Calibri" w:hAnsi="Calibri"/>
                <w:color w:val="1E293B"/>
                <w:sz w:val="20"/>
              </w:rPr>
              <w:t>9</w:t>
            </w:r>
          </w:p>
        </w:tc>
        <w:tc>
          <w:tcPr>
            <w:tcW w:type="dxa" w:w="2592"/>
            <w:shd w:fill="F8FAFC"/>
          </w:tcPr>
          <w:p>
            <w:r/>
            <w:r>
              <w:rPr>
                <w:rFonts w:ascii="Calibri" w:hAnsi="Calibri"/>
                <w:color w:val="1E293B"/>
                <w:sz w:val="20"/>
              </w:rPr>
              <w:t>Subscription Mgmt</w:t>
            </w:r>
          </w:p>
        </w:tc>
        <w:tc>
          <w:tcPr>
            <w:tcW w:type="dxa" w:w="6192"/>
            <w:shd w:fill="F8FAFC"/>
          </w:tcPr>
          <w:p>
            <w:r/>
            <w:r>
              <w:rPr>
                <w:rFonts w:ascii="Calibri" w:hAnsi="Calibri"/>
                <w:color w:val="1E293B"/>
                <w:sz w:val="20"/>
              </w:rPr>
              <w:t>Plan status, payment history, renewal, cancel</w:t>
            </w:r>
          </w:p>
        </w:tc>
      </w:tr>
      <w:tr>
        <w:tc>
          <w:tcPr>
            <w:tcW w:type="dxa" w:w="576"/>
            <w:shd w:fill="FFFFFF"/>
          </w:tcPr>
          <w:p>
            <w:r/>
            <w:r>
              <w:rPr>
                <w:rFonts w:ascii="Calibri" w:hAnsi="Calibri"/>
                <w:color w:val="1E293B"/>
                <w:sz w:val="20"/>
              </w:rPr>
              <w:t>10</w:t>
            </w:r>
          </w:p>
        </w:tc>
        <w:tc>
          <w:tcPr>
            <w:tcW w:type="dxa" w:w="2592"/>
            <w:shd w:fill="FFFFFF"/>
          </w:tcPr>
          <w:p>
            <w:r/>
            <w:r>
              <w:rPr>
                <w:rFonts w:ascii="Calibri" w:hAnsi="Calibri"/>
                <w:color w:val="1E293B"/>
                <w:sz w:val="20"/>
              </w:rPr>
              <w:t>Admin Panel</w:t>
            </w:r>
          </w:p>
        </w:tc>
        <w:tc>
          <w:tcPr>
            <w:tcW w:type="dxa" w:w="6192"/>
            <w:shd w:fill="FFFFFF"/>
          </w:tcPr>
          <w:p>
            <w:r/>
            <w:r>
              <w:rPr>
                <w:rFonts w:ascii="Calibri" w:hAnsi="Calibri"/>
                <w:color w:val="1E293B"/>
                <w:sz w:val="20"/>
              </w:rPr>
              <w:t>User mgmt, pricing, referral config, news sources, payouts</w:t>
            </w:r>
          </w:p>
        </w:tc>
      </w:tr>
    </w:tbl>
    <w:p/>
    <w:p>
      <w:pPr>
        <w:pStyle w:val="Heading1"/>
      </w:pPr>
      <w:r>
        <w:rPr>
          <w:rFonts w:ascii="Calibri" w:hAnsi="Calibri"/>
          <w:color w:val="0F172A"/>
        </w:rPr>
        <w:t>7. System Architecture</w:t>
      </w:r>
    </w:p>
    <w:p>
      <w:pPr>
        <w:spacing w:before="0" w:after="240"/>
        <w:pBdr>
          <w:bottom w:val="single" w:sz="12" w:space="1" w:color="3B82F6"/>
        </w:pBdr>
      </w:pPr>
    </w:p>
    <w:p>
      <w:pPr>
        <w:jc w:val="center"/>
      </w:pPr>
      <w:r>
        <w:drawing>
          <wp:inline xmlns:a="http://schemas.openxmlformats.org/drawingml/2006/main" xmlns:pic="http://schemas.openxmlformats.org/drawingml/2006/picture">
            <wp:extent cx="4572000" cy="4947556"/>
            <wp:docPr id="9" name="Picture 9"/>
            <wp:cNvGraphicFramePr>
              <a:graphicFrameLocks noChangeAspect="1"/>
            </wp:cNvGraphicFramePr>
            <a:graphic>
              <a:graphicData uri="http://schemas.openxmlformats.org/drawingml/2006/picture">
                <pic:pic>
                  <pic:nvPicPr>
                    <pic:cNvPr id="0" name="system-architecture.png"/>
                    <pic:cNvPicPr/>
                  </pic:nvPicPr>
                  <pic:blipFill>
                    <a:blip r:embed="rId16"/>
                    <a:stretch>
                      <a:fillRect/>
                    </a:stretch>
                  </pic:blipFill>
                  <pic:spPr>
                    <a:xfrm>
                      <a:off x="0" y="0"/>
                      <a:ext cx="4572000" cy="4947556"/>
                    </a:xfrm>
                    <a:prstGeom prst="rect"/>
                  </pic:spPr>
                </pic:pic>
              </a:graphicData>
            </a:graphic>
          </wp:inline>
        </w:drawing>
      </w:r>
    </w:p>
    <w:p>
      <w:pPr>
        <w:spacing w:after="320"/>
        <w:jc w:val="center"/>
      </w:pPr>
      <w:r>
        <w:rPr>
          <w:rFonts w:ascii="Calibri" w:hAnsi="Calibri"/>
          <w:i/>
          <w:color w:val="64748B"/>
          <w:sz w:val="18"/>
        </w:rPr>
        <w:t>Figure 9: High-Level System Architecture</w:t>
      </w:r>
    </w:p>
    <w:p>
      <w:pPr>
        <w:pStyle w:val="Heading1"/>
      </w:pPr>
      <w:r>
        <w:rPr>
          <w:rFonts w:ascii="Calibri" w:hAnsi="Calibri"/>
          <w:color w:val="0F172A"/>
        </w:rPr>
        <w:t>8. Key Business Rules</w:t>
      </w:r>
    </w:p>
    <w:p>
      <w:pPr>
        <w:spacing w:before="0" w:after="240"/>
        <w:pBdr>
          <w:bottom w:val="single" w:sz="12" w:space="1" w:color="3B82F6"/>
        </w:pBdr>
      </w:pPr>
    </w:p>
    <w:p>
      <w:pPr>
        <w:spacing w:after="160"/>
      </w:pPr>
      <w:r>
        <w:rPr>
          <w:rFonts w:ascii="Calibri" w:hAnsi="Calibri"/>
          <w:b/>
          <w:color w:val="1E293B"/>
        </w:rPr>
        <w:t xml:space="preserve">1. Content access is binary — </w:t>
      </w:r>
      <w:r>
        <w:rPr>
          <w:rFonts w:ascii="Calibri" w:hAnsi="Calibri"/>
          <w:color w:val="1E293B"/>
        </w:rPr>
        <w:t>Active subscription = full access. Expired = zero access. No partial access, no archive for expired users.</w:t>
      </w:r>
    </w:p>
    <w:p>
      <w:pPr>
        <w:spacing w:after="160"/>
      </w:pPr>
      <w:r>
        <w:rPr>
          <w:rFonts w:ascii="Calibri" w:hAnsi="Calibri"/>
          <w:b/>
          <w:color w:val="1E293B"/>
        </w:rPr>
        <w:t xml:space="preserve">2. All auto-recycled content must be reviewed — </w:t>
      </w:r>
      <w:r>
        <w:rPr>
          <w:rFonts w:ascii="Calibri" w:hAnsi="Calibri"/>
          <w:color w:val="1E293B"/>
        </w:rPr>
        <w:t>Nothing from the news recycler pipeline goes live without explicit author approval.</w:t>
      </w:r>
    </w:p>
    <w:p>
      <w:pPr>
        <w:spacing w:after="160"/>
      </w:pPr>
      <w:r>
        <w:rPr>
          <w:rFonts w:ascii="Calibri" w:hAnsi="Calibri"/>
          <w:b/>
          <w:color w:val="1E293B"/>
        </w:rPr>
        <w:t xml:space="preserve">3. Referral commission is one-time — </w:t>
      </w:r>
      <w:r>
        <w:rPr>
          <w:rFonts w:ascii="Calibri" w:hAnsi="Calibri"/>
          <w:color w:val="1E293B"/>
        </w:rPr>
        <w:t>Paid only on the referred user's first successful payment. Not recurring.</w:t>
      </w:r>
    </w:p>
    <w:p>
      <w:pPr>
        <w:spacing w:after="160"/>
      </w:pPr>
      <w:r>
        <w:rPr>
          <w:rFonts w:ascii="Calibri" w:hAnsi="Calibri"/>
          <w:b/>
          <w:color w:val="1E293B"/>
        </w:rPr>
        <w:t xml:space="preserve">4. Images must be redrawn — </w:t>
      </w:r>
      <w:r>
        <w:rPr>
          <w:rFonts w:ascii="Calibri" w:hAnsi="Calibri"/>
          <w:color w:val="1E293B"/>
        </w:rPr>
        <w:t>Never republish original images from premium sources. AI generates new visuals conveying the same information.</w:t>
      </w:r>
    </w:p>
    <w:p>
      <w:pPr>
        <w:spacing w:after="160"/>
      </w:pPr>
      <w:r>
        <w:rPr>
          <w:rFonts w:ascii="Calibri" w:hAnsi="Calibri"/>
          <w:b/>
          <w:color w:val="1E293B"/>
        </w:rPr>
        <w:t xml:space="preserve">5. Daily digest is curated — </w:t>
      </w:r>
      <w:r>
        <w:rPr>
          <w:rFonts w:ascii="Calibri" w:hAnsi="Calibri"/>
          <w:color w:val="1E293B"/>
        </w:rPr>
        <w:t>Auto-generated from individual posts but reviewed by an author before publishing.</w:t>
      </w:r>
    </w:p>
    <w:p>
      <w:r>
        <w:br w:type="page"/>
      </w:r>
    </w:p>
    <w:p>
      <w:pPr>
        <w:pStyle w:val="Heading1"/>
      </w:pPr>
      <w:r>
        <w:rPr>
          <w:rFonts w:ascii="Calibri" w:hAnsi="Calibri"/>
          <w:color w:val="0F172A"/>
        </w:rPr>
        <w:t>9. Admin Dashboard</w:t>
      </w:r>
    </w:p>
    <w:p>
      <w:pPr>
        <w:spacing w:before="0" w:after="240"/>
        <w:pBdr>
          <w:bottom w:val="single" w:sz="12" w:space="1" w:color="3B82F6"/>
        </w:pBdr>
      </w:pPr>
    </w:p>
    <w:p>
      <w:r>
        <w:rPr>
          <w:rFonts w:ascii="Calibri" w:hAnsi="Calibri"/>
        </w:rPr>
        <w:t>The admin dashboard provides complete platform management capabilities. Only users with the Admin role can access this section.</w:t>
      </w:r>
    </w:p>
    <w:p>
      <w:pPr>
        <w:pStyle w:val="Heading2"/>
      </w:pPr>
      <w:r>
        <w:rPr>
          <w:rFonts w:ascii="Calibri" w:hAnsi="Calibri"/>
          <w:color w:val="1E40AF"/>
        </w:rPr>
        <w:t>User Management</w:t>
      </w:r>
    </w:p>
    <w:p>
      <w:pPr>
        <w:pStyle w:val="ListBullet"/>
      </w:pPr>
      <w:r>
        <w:rPr>
          <w:rFonts w:ascii="Calibri" w:hAnsi="Calibri"/>
          <w:color w:val="1E293B"/>
          <w:sz w:val="22"/>
        </w:rPr>
        <w:t>View all registered users (subscribers, authors, admins)</w:t>
      </w:r>
    </w:p>
    <w:p>
      <w:pPr>
        <w:pStyle w:val="ListBullet"/>
      </w:pPr>
      <w:r>
        <w:rPr>
          <w:rFonts w:ascii="Calibri" w:hAnsi="Calibri"/>
          <w:color w:val="1E293B"/>
          <w:sz w:val="22"/>
        </w:rPr>
        <w:t>Activate / deactivate user accounts</w:t>
      </w:r>
    </w:p>
    <w:p>
      <w:pPr>
        <w:pStyle w:val="ListBullet"/>
      </w:pPr>
      <w:r>
        <w:rPr>
          <w:rFonts w:ascii="Calibri" w:hAnsi="Calibri"/>
          <w:color w:val="1E293B"/>
          <w:sz w:val="22"/>
        </w:rPr>
        <w:t>Promote users to Author or Admin role</w:t>
      </w:r>
    </w:p>
    <w:p>
      <w:pPr>
        <w:pStyle w:val="ListBullet"/>
      </w:pPr>
      <w:r>
        <w:rPr>
          <w:rFonts w:ascii="Calibri" w:hAnsi="Calibri"/>
          <w:color w:val="1E293B"/>
          <w:sz w:val="22"/>
        </w:rPr>
        <w:t>View individual user subscription history and status</w:t>
      </w:r>
    </w:p>
    <w:p>
      <w:pPr>
        <w:pStyle w:val="Heading2"/>
      </w:pPr>
      <w:r>
        <w:rPr>
          <w:rFonts w:ascii="Calibri" w:hAnsi="Calibri"/>
          <w:color w:val="1E40AF"/>
        </w:rPr>
        <w:t>Subscription &amp; Revenue</w:t>
      </w:r>
    </w:p>
    <w:p>
      <w:pPr>
        <w:pStyle w:val="ListBullet"/>
      </w:pPr>
      <w:r>
        <w:rPr>
          <w:rFonts w:ascii="Calibri" w:hAnsi="Calibri"/>
          <w:color w:val="1E293B"/>
          <w:sz w:val="22"/>
        </w:rPr>
        <w:t>Set and update monthly subscription price</w:t>
      </w:r>
    </w:p>
    <w:p>
      <w:pPr>
        <w:pStyle w:val="ListBullet"/>
      </w:pPr>
      <w:r>
        <w:rPr>
          <w:rFonts w:ascii="Calibri" w:hAnsi="Calibri"/>
          <w:color w:val="1E293B"/>
          <w:sz w:val="22"/>
        </w:rPr>
        <w:t>View total active subscribers and revenue metrics</w:t>
      </w:r>
    </w:p>
    <w:p>
      <w:pPr>
        <w:pStyle w:val="ListBullet"/>
      </w:pPr>
      <w:r>
        <w:rPr>
          <w:rFonts w:ascii="Calibri" w:hAnsi="Calibri"/>
          <w:color w:val="1E293B"/>
          <w:sz w:val="22"/>
        </w:rPr>
        <w:t>View payment history and transaction logs</w:t>
      </w:r>
    </w:p>
    <w:p>
      <w:pPr>
        <w:pStyle w:val="ListBullet"/>
      </w:pPr>
      <w:r>
        <w:rPr>
          <w:rFonts w:ascii="Calibri" w:hAnsi="Calibri"/>
          <w:color w:val="1E293B"/>
          <w:sz w:val="22"/>
        </w:rPr>
        <w:t>Handle failed payments and manual subscription adjustments</w:t>
      </w:r>
    </w:p>
    <w:p>
      <w:pPr>
        <w:pStyle w:val="Heading2"/>
      </w:pPr>
      <w:r>
        <w:rPr>
          <w:rFonts w:ascii="Calibri" w:hAnsi="Calibri"/>
          <w:color w:val="1E40AF"/>
        </w:rPr>
        <w:t>Referral Management</w:t>
      </w:r>
    </w:p>
    <w:p>
      <w:pPr>
        <w:pStyle w:val="ListBullet"/>
      </w:pPr>
      <w:r>
        <w:rPr>
          <w:rFonts w:ascii="Calibri" w:hAnsi="Calibri"/>
          <w:color w:val="1E293B"/>
          <w:sz w:val="22"/>
        </w:rPr>
        <w:t>Set and update referral commission amount (fixed IDR)</w:t>
      </w:r>
    </w:p>
    <w:p>
      <w:pPr>
        <w:pStyle w:val="ListBullet"/>
      </w:pPr>
      <w:r>
        <w:rPr>
          <w:rFonts w:ascii="Calibri" w:hAnsi="Calibri"/>
          <w:color w:val="1E293B"/>
          <w:sz w:val="22"/>
        </w:rPr>
        <w:t>View all referral activity — who referred whom, conversion status</w:t>
      </w:r>
    </w:p>
    <w:p>
      <w:pPr>
        <w:pStyle w:val="ListBullet"/>
      </w:pPr>
      <w:r>
        <w:rPr>
          <w:rFonts w:ascii="Calibri" w:hAnsi="Calibri"/>
          <w:color w:val="1E293B"/>
          <w:sz w:val="22"/>
        </w:rPr>
        <w:t>Process commission payouts (manual or batch via bank transfer)</w:t>
      </w:r>
    </w:p>
    <w:p>
      <w:pPr>
        <w:pStyle w:val="ListBullet"/>
      </w:pPr>
      <w:r>
        <w:rPr>
          <w:rFonts w:ascii="Calibri" w:hAnsi="Calibri"/>
          <w:color w:val="1E293B"/>
          <w:sz w:val="22"/>
        </w:rPr>
        <w:t>View payout history and pending payouts</w:t>
      </w:r>
    </w:p>
    <w:p>
      <w:pPr>
        <w:pStyle w:val="Heading2"/>
      </w:pPr>
      <w:r>
        <w:rPr>
          <w:rFonts w:ascii="Calibri" w:hAnsi="Calibri"/>
          <w:color w:val="1E40AF"/>
        </w:rPr>
        <w:t>Content Management</w:t>
      </w:r>
    </w:p>
    <w:p>
      <w:pPr>
        <w:pStyle w:val="ListBullet"/>
      </w:pPr>
      <w:r>
        <w:rPr>
          <w:rFonts w:ascii="Calibri" w:hAnsi="Calibri"/>
          <w:color w:val="1E293B"/>
          <w:sz w:val="22"/>
        </w:rPr>
        <w:t>View all published posts across categories</w:t>
      </w:r>
    </w:p>
    <w:p>
      <w:pPr>
        <w:pStyle w:val="ListBullet"/>
      </w:pPr>
      <w:r>
        <w:rPr>
          <w:rFonts w:ascii="Calibri" w:hAnsi="Calibri"/>
          <w:color w:val="1E293B"/>
          <w:sz w:val="22"/>
        </w:rPr>
        <w:t>Unpublish or delete posts if needed</w:t>
      </w:r>
    </w:p>
    <w:p>
      <w:pPr>
        <w:pStyle w:val="ListBullet"/>
      </w:pPr>
      <w:r>
        <w:rPr>
          <w:rFonts w:ascii="Calibri" w:hAnsi="Calibri"/>
          <w:color w:val="1E293B"/>
          <w:sz w:val="22"/>
        </w:rPr>
        <w:t>Manage content categories</w:t>
      </w:r>
    </w:p>
    <w:p>
      <w:pPr>
        <w:pStyle w:val="Heading2"/>
      </w:pPr>
      <w:r>
        <w:rPr>
          <w:rFonts w:ascii="Calibri" w:hAnsi="Calibri"/>
          <w:color w:val="1E40AF"/>
        </w:rPr>
        <w:t>News Source Configuration</w:t>
      </w:r>
    </w:p>
    <w:p>
      <w:pPr>
        <w:pStyle w:val="ListBullet"/>
      </w:pPr>
      <w:r>
        <w:rPr>
          <w:rFonts w:ascii="Calibri" w:hAnsi="Calibri"/>
          <w:color w:val="1E293B"/>
          <w:sz w:val="22"/>
        </w:rPr>
        <w:t>Add / remove / edit RSS feed URLs</w:t>
      </w:r>
    </w:p>
    <w:p>
      <w:pPr>
        <w:pStyle w:val="ListBullet"/>
      </w:pPr>
      <w:r>
        <w:rPr>
          <w:rFonts w:ascii="Calibri" w:hAnsi="Calibri"/>
          <w:color w:val="1E293B"/>
          <w:sz w:val="22"/>
        </w:rPr>
        <w:t>Configure web scraping targets</w:t>
      </w:r>
    </w:p>
    <w:p>
      <w:pPr>
        <w:pStyle w:val="ListBullet"/>
      </w:pPr>
      <w:r>
        <w:rPr>
          <w:rFonts w:ascii="Calibri" w:hAnsi="Calibri"/>
          <w:color w:val="1E293B"/>
          <w:sz w:val="22"/>
        </w:rPr>
        <w:t>Set ingestion frequency and scheduling</w:t>
      </w:r>
    </w:p>
    <w:p>
      <w:pPr>
        <w:pStyle w:val="ListBullet"/>
      </w:pPr>
      <w:r>
        <w:rPr>
          <w:rFonts w:ascii="Calibri" w:hAnsi="Calibri"/>
          <w:color w:val="1E293B"/>
          <w:sz w:val="22"/>
        </w:rPr>
        <w:t>Monitor recycler pipeline health and error logs</w:t>
      </w:r>
    </w:p>
    <w:p>
      <w:pPr>
        <w:pStyle w:val="Heading2"/>
      </w:pPr>
      <w:r>
        <w:rPr>
          <w:rFonts w:ascii="Calibri" w:hAnsi="Calibri"/>
          <w:color w:val="1E40AF"/>
        </w:rPr>
        <w:t>Analytics Overview</w:t>
      </w:r>
    </w:p>
    <w:p>
      <w:pPr>
        <w:pStyle w:val="ListBullet"/>
      </w:pPr>
      <w:r>
        <w:rPr>
          <w:rFonts w:ascii="Calibri" w:hAnsi="Calibri"/>
          <w:color w:val="1E293B"/>
          <w:sz w:val="22"/>
        </w:rPr>
        <w:t>Subscriber growth over time</w:t>
      </w:r>
    </w:p>
    <w:p>
      <w:pPr>
        <w:pStyle w:val="ListBullet"/>
      </w:pPr>
      <w:r>
        <w:rPr>
          <w:rFonts w:ascii="Calibri" w:hAnsi="Calibri"/>
          <w:color w:val="1E293B"/>
          <w:sz w:val="22"/>
        </w:rPr>
        <w:t>Revenue trends (MRR)</w:t>
      </w:r>
    </w:p>
    <w:p>
      <w:pPr>
        <w:pStyle w:val="ListBullet"/>
      </w:pPr>
      <w:r>
        <w:rPr>
          <w:rFonts w:ascii="Calibri" w:hAnsi="Calibri"/>
          <w:color w:val="1E293B"/>
          <w:sz w:val="22"/>
        </w:rPr>
        <w:t>Top referrers leaderboard</w:t>
      </w:r>
    </w:p>
    <w:p>
      <w:pPr>
        <w:pStyle w:val="ListBullet"/>
      </w:pPr>
      <w:r>
        <w:rPr>
          <w:rFonts w:ascii="Calibri" w:hAnsi="Calibri"/>
          <w:color w:val="1E293B"/>
          <w:sz w:val="22"/>
        </w:rPr>
        <w:t>Content engagement metrics (views per post/category)</w:t>
      </w:r>
    </w:p>
    <w:p>
      <w:pPr>
        <w:pStyle w:val="ListBullet"/>
      </w:pPr>
      <w:r>
        <w:rPr>
          <w:rFonts w:ascii="Calibri" w:hAnsi="Calibri"/>
          <w:color w:val="1E293B"/>
          <w:sz w:val="22"/>
        </w:rPr>
        <w:t>Churn rate and renewal rate</w:t>
      </w:r>
    </w:p>
    <w:p>
      <w:r>
        <w:br w:type="page"/>
      </w:r>
    </w:p>
    <w:p>
      <w:pPr>
        <w:pStyle w:val="Heading1"/>
      </w:pPr>
      <w:r>
        <w:rPr>
          <w:rFonts w:ascii="Calibri" w:hAnsi="Calibri"/>
          <w:color w:val="0F172A"/>
        </w:rPr>
        <w:t>10. Project Pricing</w:t>
      </w:r>
    </w:p>
    <w:p>
      <w:pPr>
        <w:spacing w:before="0" w:after="240"/>
        <w:pBdr>
          <w:bottom w:val="single" w:sz="12" w:space="1" w:color="3B82F6"/>
        </w:pBdr>
      </w:pPr>
    </w:p>
    <w:tbl>
      <w:tblPr>
        <w:tblW w:type="auto" w:w="0"/>
        <w:tblLook w:firstColumn="1" w:firstRow="1" w:lastColumn="0" w:lastRow="0" w:noHBand="0" w:noVBand="1" w:val="04A0"/>
      </w:tblPr>
      <w:tblGrid>
        <w:gridCol w:w="9406"/>
      </w:tblGrid>
      <w:tr>
        <w:tc>
          <w:tcPr>
            <w:tcW w:type="dxa" w:w="9406"/>
            <w:shd w:fill="EFF6FF"/>
            <w:tcBorders>
              <w:top w:val="single" w:sz="4" w:space="0" w:color="3B82F6"/>
              <w:bottom w:val="single" w:sz="4" w:space="0" w:color="3B82F6"/>
              <w:left w:val="single" w:sz="4" w:space="0" w:color="3B82F6"/>
              <w:right w:val="single" w:sz="4" w:space="0" w:color="3B82F6"/>
            </w:tcBorders>
          </w:tcPr>
          <w:p>
            <w:r/>
            <w:r>
              <w:rPr>
                <w:rFonts w:ascii="Calibri" w:hAnsi="Calibri"/>
                <w:color w:val="1E40AF"/>
                <w:sz w:val="20"/>
              </w:rPr>
              <w:t>Total Project Cost: IDR 20,000,000 (Dua Puluh Juta Rupiah)</w:t>
            </w:r>
          </w:p>
        </w:tc>
      </w:tr>
    </w:tbl>
    <w:p/>
    <w:p>
      <w:pPr>
        <w:pStyle w:val="Heading2"/>
      </w:pPr>
      <w:r>
        <w:rPr>
          <w:rFonts w:ascii="Calibri" w:hAnsi="Calibri"/>
          <w:color w:val="1E40AF"/>
        </w:rPr>
        <w:t>Price Breakdown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35"/>
        <w:gridCol w:w="3135"/>
        <w:gridCol w:w="3135"/>
      </w:tblGrid>
      <w:tr>
        <w:tc>
          <w:tcPr>
            <w:tcW w:type="dxa" w:w="2592"/>
            <w:shd w:fill="0F172A"/>
          </w:tcPr>
          <w:p>
            <w:pPr>
              <w:jc w:val="left"/>
            </w:pPr>
            <w:r/>
            <w:r>
              <w:rPr>
                <w:rFonts w:ascii="Calibri" w:hAnsi="Calibri"/>
                <w:b/>
                <w:color w:val="FFFFFF"/>
                <w:sz w:val="20"/>
              </w:rPr>
              <w:t>Deliverable</w:t>
            </w:r>
          </w:p>
        </w:tc>
        <w:tc>
          <w:tcPr>
            <w:tcW w:type="dxa" w:w="4608"/>
            <w:shd w:fill="0F172A"/>
          </w:tcPr>
          <w:p>
            <w:pPr>
              <w:jc w:val="left"/>
            </w:pPr>
            <w:r/>
            <w:r>
              <w:rPr>
                <w:rFonts w:ascii="Calibri" w:hAnsi="Calibri"/>
                <w:b/>
                <w:color w:val="FFFFFF"/>
                <w:sz w:val="20"/>
              </w:rPr>
              <w:t>Description</w:t>
            </w:r>
          </w:p>
        </w:tc>
        <w:tc>
          <w:tcPr>
            <w:tcW w:type="dxa" w:w="2160"/>
            <w:shd w:fill="0F172A"/>
          </w:tcPr>
          <w:p>
            <w:pPr>
              <w:jc w:val="left"/>
            </w:pPr>
            <w:r/>
            <w:r>
              <w:rPr>
                <w:rFonts w:ascii="Calibri" w:hAnsi="Calibri"/>
                <w:b/>
                <w:color w:val="FFFFFF"/>
                <w:sz w:val="20"/>
              </w:rPr>
              <w:t>Cost (IDR)</w:t>
            </w:r>
          </w:p>
        </w:tc>
      </w:tr>
      <w:tr>
        <w:tc>
          <w:tcPr>
            <w:tcW w:type="dxa" w:w="2592"/>
            <w:shd w:fill="F8FAFC"/>
          </w:tcPr>
          <w:p>
            <w:r/>
            <w:r>
              <w:rPr>
                <w:rFonts w:ascii="Calibri" w:hAnsi="Calibri"/>
                <w:color w:val="1E293B"/>
                <w:sz w:val="20"/>
              </w:rPr>
              <w:t>Landing Page</w:t>
            </w:r>
          </w:p>
        </w:tc>
        <w:tc>
          <w:tcPr>
            <w:tcW w:type="dxa" w:w="4608"/>
            <w:shd w:fill="F8FAFC"/>
          </w:tcPr>
          <w:p>
            <w:r/>
            <w:r>
              <w:rPr>
                <w:rFonts w:ascii="Calibri" w:hAnsi="Calibri"/>
                <w:color w:val="1E293B"/>
                <w:sz w:val="20"/>
              </w:rPr>
              <w:t>Public marketing site with pricing, CTA, referral support</w:t>
            </w:r>
          </w:p>
        </w:tc>
        <w:tc>
          <w:tcPr>
            <w:tcW w:type="dxa" w:w="2160"/>
            <w:shd w:fill="F8FAFC"/>
          </w:tcPr>
          <w:p>
            <w:r/>
            <w:r>
              <w:rPr>
                <w:rFonts w:ascii="Calibri" w:hAnsi="Calibri"/>
                <w:color w:val="1E293B"/>
                <w:sz w:val="20"/>
              </w:rPr>
              <w:t>2,000,000</w:t>
            </w:r>
          </w:p>
        </w:tc>
      </w:tr>
      <w:tr>
        <w:tc>
          <w:tcPr>
            <w:tcW w:type="dxa" w:w="2592"/>
            <w:shd w:fill="FFFFFF"/>
          </w:tcPr>
          <w:p>
            <w:r/>
            <w:r>
              <w:rPr>
                <w:rFonts w:ascii="Calibri" w:hAnsi="Calibri"/>
                <w:color w:val="1E293B"/>
                <w:sz w:val="20"/>
              </w:rPr>
              <w:t>Auth System</w:t>
            </w:r>
          </w:p>
        </w:tc>
        <w:tc>
          <w:tcPr>
            <w:tcW w:type="dxa" w:w="4608"/>
            <w:shd w:fill="FFFFFF"/>
          </w:tcPr>
          <w:p>
            <w:r/>
            <w:r>
              <w:rPr>
                <w:rFonts w:ascii="Calibri" w:hAnsi="Calibri"/>
                <w:color w:val="1E293B"/>
                <w:sz w:val="20"/>
              </w:rPr>
              <w:t>Sign up, login, password reset, session management</w:t>
            </w:r>
          </w:p>
        </w:tc>
        <w:tc>
          <w:tcPr>
            <w:tcW w:type="dxa" w:w="2160"/>
            <w:shd w:fill="FFFFFF"/>
          </w:tcPr>
          <w:p>
            <w:r/>
            <w:r>
              <w:rPr>
                <w:rFonts w:ascii="Calibri" w:hAnsi="Calibri"/>
                <w:color w:val="1E293B"/>
                <w:sz w:val="20"/>
              </w:rPr>
              <w:t>1,500,000</w:t>
            </w:r>
          </w:p>
        </w:tc>
      </w:tr>
      <w:tr>
        <w:tc>
          <w:tcPr>
            <w:tcW w:type="dxa" w:w="2592"/>
            <w:shd w:fill="F8FAFC"/>
          </w:tcPr>
          <w:p>
            <w:r/>
            <w:r>
              <w:rPr>
                <w:rFonts w:ascii="Calibri" w:hAnsi="Calibri"/>
                <w:color w:val="1E293B"/>
                <w:sz w:val="20"/>
              </w:rPr>
              <w:t>Subscriber Dashboard</w:t>
            </w:r>
          </w:p>
        </w:tc>
        <w:tc>
          <w:tcPr>
            <w:tcW w:type="dxa" w:w="4608"/>
            <w:shd w:fill="F8FAFC"/>
          </w:tcPr>
          <w:p>
            <w:r/>
            <w:r>
              <w:rPr>
                <w:rFonts w:ascii="Calibri" w:hAnsi="Calibri"/>
                <w:color w:val="1E293B"/>
                <w:sz w:val="20"/>
              </w:rPr>
              <w:t>Content feed, category browsing, daily digest, post detail</w:t>
            </w:r>
          </w:p>
        </w:tc>
        <w:tc>
          <w:tcPr>
            <w:tcW w:type="dxa" w:w="2160"/>
            <w:shd w:fill="F8FAFC"/>
          </w:tcPr>
          <w:p>
            <w:r/>
            <w:r>
              <w:rPr>
                <w:rFonts w:ascii="Calibri" w:hAnsi="Calibri"/>
                <w:color w:val="1E293B"/>
                <w:sz w:val="20"/>
              </w:rPr>
              <w:t>3,000,000</w:t>
            </w:r>
          </w:p>
        </w:tc>
      </w:tr>
      <w:tr>
        <w:tc>
          <w:tcPr>
            <w:tcW w:type="dxa" w:w="2592"/>
            <w:shd w:fill="FFFFFF"/>
          </w:tcPr>
          <w:p>
            <w:r/>
            <w:r>
              <w:rPr>
                <w:rFonts w:ascii="Calibri" w:hAnsi="Calibri"/>
                <w:color w:val="1E293B"/>
                <w:sz w:val="20"/>
              </w:rPr>
              <w:t>Author Dashboard</w:t>
            </w:r>
          </w:p>
        </w:tc>
        <w:tc>
          <w:tcPr>
            <w:tcW w:type="dxa" w:w="4608"/>
            <w:shd w:fill="FFFFFF"/>
          </w:tcPr>
          <w:p>
            <w:r/>
            <w:r>
              <w:rPr>
                <w:rFonts w:ascii="Calibri" w:hAnsi="Calibri"/>
                <w:color w:val="1E293B"/>
                <w:sz w:val="20"/>
              </w:rPr>
              <w:t>Post CRUD, drafts, scheduling, rich text editor</w:t>
            </w:r>
          </w:p>
        </w:tc>
        <w:tc>
          <w:tcPr>
            <w:tcW w:type="dxa" w:w="2160"/>
            <w:shd w:fill="FFFFFF"/>
          </w:tcPr>
          <w:p>
            <w:r/>
            <w:r>
              <w:rPr>
                <w:rFonts w:ascii="Calibri" w:hAnsi="Calibri"/>
                <w:color w:val="1E293B"/>
                <w:sz w:val="20"/>
              </w:rPr>
              <w:t>3,000,000</w:t>
            </w:r>
          </w:p>
        </w:tc>
      </w:tr>
      <w:tr>
        <w:tc>
          <w:tcPr>
            <w:tcW w:type="dxa" w:w="2592"/>
            <w:shd w:fill="F8FAFC"/>
          </w:tcPr>
          <w:p>
            <w:r/>
            <w:r>
              <w:rPr>
                <w:rFonts w:ascii="Calibri" w:hAnsi="Calibri"/>
                <w:color w:val="1E293B"/>
                <w:sz w:val="20"/>
              </w:rPr>
              <w:t>Auto News Recycler</w:t>
            </w:r>
          </w:p>
        </w:tc>
        <w:tc>
          <w:tcPr>
            <w:tcW w:type="dxa" w:w="4608"/>
            <w:shd w:fill="F8FAFC"/>
          </w:tcPr>
          <w:p>
            <w:r/>
            <w:r>
              <w:rPr>
                <w:rFonts w:ascii="Calibri" w:hAnsi="Calibri"/>
                <w:color w:val="1E293B"/>
                <w:sz w:val="20"/>
              </w:rPr>
              <w:t>News ingestion, AI text rewrite, AI image redraw, review queue</w:t>
            </w:r>
          </w:p>
        </w:tc>
        <w:tc>
          <w:tcPr>
            <w:tcW w:type="dxa" w:w="2160"/>
            <w:shd w:fill="F8FAFC"/>
          </w:tcPr>
          <w:p>
            <w:r/>
            <w:r>
              <w:rPr>
                <w:rFonts w:ascii="Calibri" w:hAnsi="Calibri"/>
                <w:color w:val="1E293B"/>
                <w:sz w:val="20"/>
              </w:rPr>
              <w:t>4,000,000</w:t>
            </w:r>
          </w:p>
        </w:tc>
      </w:tr>
      <w:tr>
        <w:tc>
          <w:tcPr>
            <w:tcW w:type="dxa" w:w="2592"/>
            <w:shd w:fill="FFFFFF"/>
          </w:tcPr>
          <w:p>
            <w:r/>
            <w:r>
              <w:rPr>
                <w:rFonts w:ascii="Calibri" w:hAnsi="Calibri"/>
                <w:color w:val="1E293B"/>
                <w:sz w:val="20"/>
              </w:rPr>
              <w:t>Payment Integration</w:t>
            </w:r>
          </w:p>
        </w:tc>
        <w:tc>
          <w:tcPr>
            <w:tcW w:type="dxa" w:w="4608"/>
            <w:shd w:fill="FFFFFF"/>
          </w:tcPr>
          <w:p>
            <w:r/>
            <w:r>
              <w:rPr>
                <w:rFonts w:ascii="Calibri" w:hAnsi="Calibri"/>
                <w:color w:val="1E293B"/>
                <w:sz w:val="20"/>
              </w:rPr>
              <w:t>Xendit/Midtrans checkout, webhooks, subscription management</w:t>
            </w:r>
          </w:p>
        </w:tc>
        <w:tc>
          <w:tcPr>
            <w:tcW w:type="dxa" w:w="2160"/>
            <w:shd w:fill="FFFFFF"/>
          </w:tcPr>
          <w:p>
            <w:r/>
            <w:r>
              <w:rPr>
                <w:rFonts w:ascii="Calibri" w:hAnsi="Calibri"/>
                <w:color w:val="1E293B"/>
                <w:sz w:val="20"/>
              </w:rPr>
              <w:t>2,500,000</w:t>
            </w:r>
          </w:p>
        </w:tc>
      </w:tr>
      <w:tr>
        <w:tc>
          <w:tcPr>
            <w:tcW w:type="dxa" w:w="2592"/>
            <w:shd w:fill="F8FAFC"/>
          </w:tcPr>
          <w:p>
            <w:r/>
            <w:r>
              <w:rPr>
                <w:rFonts w:ascii="Calibri" w:hAnsi="Calibri"/>
                <w:color w:val="1E293B"/>
                <w:sz w:val="20"/>
              </w:rPr>
              <w:t>Referral System</w:t>
            </w:r>
          </w:p>
        </w:tc>
        <w:tc>
          <w:tcPr>
            <w:tcW w:type="dxa" w:w="4608"/>
            <w:shd w:fill="F8FAFC"/>
          </w:tcPr>
          <w:p>
            <w:r/>
            <w:r>
              <w:rPr>
                <w:rFonts w:ascii="Calibri" w:hAnsi="Calibri"/>
                <w:color w:val="1E293B"/>
                <w:sz w:val="20"/>
              </w:rPr>
              <w:t>Referral codes, tracking, commission logic, referral dashboard</w:t>
            </w:r>
          </w:p>
        </w:tc>
        <w:tc>
          <w:tcPr>
            <w:tcW w:type="dxa" w:w="2160"/>
            <w:shd w:fill="F8FAFC"/>
          </w:tcPr>
          <w:p>
            <w:r/>
            <w:r>
              <w:rPr>
                <w:rFonts w:ascii="Calibri" w:hAnsi="Calibri"/>
                <w:color w:val="1E293B"/>
                <w:sz w:val="20"/>
              </w:rPr>
              <w:t>2,000,000</w:t>
            </w:r>
          </w:p>
        </w:tc>
      </w:tr>
      <w:tr>
        <w:tc>
          <w:tcPr>
            <w:tcW w:type="dxa" w:w="2592"/>
            <w:shd w:fill="FFFFFF"/>
          </w:tcPr>
          <w:p>
            <w:r/>
            <w:r>
              <w:rPr>
                <w:rFonts w:ascii="Calibri" w:hAnsi="Calibri"/>
                <w:color w:val="1E293B"/>
                <w:sz w:val="20"/>
              </w:rPr>
              <w:t>Admin Dashboard</w:t>
            </w:r>
          </w:p>
        </w:tc>
        <w:tc>
          <w:tcPr>
            <w:tcW w:type="dxa" w:w="4608"/>
            <w:shd w:fill="FFFFFF"/>
          </w:tcPr>
          <w:p>
            <w:r/>
            <w:r>
              <w:rPr>
                <w:rFonts w:ascii="Calibri" w:hAnsi="Calibri"/>
                <w:color w:val="1E293B"/>
                <w:sz w:val="20"/>
              </w:rPr>
              <w:t>User mgmt, pricing config, referral config, analytics, news sources</w:t>
            </w:r>
          </w:p>
        </w:tc>
        <w:tc>
          <w:tcPr>
            <w:tcW w:type="dxa" w:w="2160"/>
            <w:shd w:fill="FFFFFF"/>
          </w:tcPr>
          <w:p>
            <w:r/>
            <w:r>
              <w:rPr>
                <w:rFonts w:ascii="Calibri" w:hAnsi="Calibri"/>
                <w:color w:val="1E293B"/>
                <w:sz w:val="20"/>
              </w:rPr>
              <w:t>2,000,000</w:t>
            </w:r>
          </w:p>
        </w:tc>
      </w:tr>
    </w:tbl>
    <w:p/>
    <w:p>
      <w:pPr>
        <w:pStyle w:val="Heading2"/>
      </w:pPr>
      <w:r>
        <w:rPr>
          <w:rFonts w:ascii="Calibri" w:hAnsi="Calibri"/>
          <w:color w:val="1E40AF"/>
        </w:rPr>
        <w:t>Payment Terms</w:t>
      </w:r>
    </w:p>
    <w:p>
      <w:pPr>
        <w:pStyle w:val="ListBullet"/>
      </w:pPr>
      <w:r>
        <w:rPr>
          <w:rFonts w:ascii="Calibri" w:hAnsi="Calibri"/>
          <w:color w:val="1E293B"/>
          <w:sz w:val="22"/>
        </w:rPr>
        <w:t>50% upfront before development begins (IDR 10,000,000)</w:t>
      </w:r>
    </w:p>
    <w:p>
      <w:pPr>
        <w:pStyle w:val="ListBullet"/>
      </w:pPr>
      <w:r>
        <w:rPr>
          <w:rFonts w:ascii="Calibri" w:hAnsi="Calibri"/>
          <w:color w:val="1E293B"/>
          <w:sz w:val="22"/>
        </w:rPr>
        <w:t>50% upon completion and deployment (IDR 10,000,000)</w:t>
      </w:r>
    </w:p>
    <w:p>
      <w:pPr>
        <w:pStyle w:val="Heading2"/>
      </w:pPr>
      <w:r>
        <w:rPr>
          <w:rFonts w:ascii="Calibri" w:hAnsi="Calibri"/>
          <w:color w:val="1E40AF"/>
        </w:rPr>
        <w:t>What's Included</w:t>
      </w:r>
    </w:p>
    <w:p>
      <w:pPr>
        <w:pStyle w:val="ListBullet"/>
      </w:pPr>
      <w:r>
        <w:rPr>
          <w:rFonts w:ascii="Calibri" w:hAnsi="Calibri"/>
          <w:color w:val="1E293B"/>
          <w:sz w:val="22"/>
        </w:rPr>
        <w:t>Full source code ownership</w:t>
      </w:r>
    </w:p>
    <w:p>
      <w:pPr>
        <w:pStyle w:val="ListBullet"/>
      </w:pPr>
      <w:r>
        <w:rPr>
          <w:rFonts w:ascii="Calibri" w:hAnsi="Calibri"/>
          <w:color w:val="1E293B"/>
          <w:sz w:val="22"/>
        </w:rPr>
        <w:t>Deployment to production (Vercel + Supabase)</w:t>
      </w:r>
    </w:p>
    <w:p>
      <w:pPr>
        <w:pStyle w:val="ListBullet"/>
      </w:pPr>
      <w:r>
        <w:rPr>
          <w:rFonts w:ascii="Calibri" w:hAnsi="Calibri"/>
          <w:color w:val="1E293B"/>
          <w:sz w:val="22"/>
        </w:rPr>
        <w:t>1 week post-launch bug fix support</w:t>
      </w:r>
    </w:p>
    <w:p>
      <w:pPr>
        <w:pStyle w:val="ListBullet"/>
      </w:pPr>
      <w:r>
        <w:rPr>
          <w:rFonts w:ascii="Calibri" w:hAnsi="Calibri"/>
          <w:color w:val="1E293B"/>
          <w:sz w:val="22"/>
        </w:rPr>
        <w:t>Documentation for content management</w:t>
      </w:r>
    </w:p>
    <w:p>
      <w:r>
        <w:br w:type="page"/>
      </w:r>
    </w:p>
    <w:p>
      <w:pPr>
        <w:pStyle w:val="Heading1"/>
      </w:pPr>
      <w:r>
        <w:rPr>
          <w:rFonts w:ascii="Calibri" w:hAnsi="Calibri"/>
          <w:color w:val="0F172A"/>
        </w:rPr>
        <w:t>11. Development Timeline</w:t>
      </w:r>
    </w:p>
    <w:p>
      <w:pPr>
        <w:spacing w:before="0" w:after="240"/>
        <w:pBdr>
          <w:bottom w:val="single" w:sz="12" w:space="1" w:color="3B82F6"/>
        </w:pBdr>
      </w:pPr>
    </w:p>
    <w:p>
      <w:r>
        <w:rPr>
          <w:rFonts w:ascii="Calibri" w:hAnsi="Calibri"/>
        </w:rPr>
        <w:t>Total development time: 1.5 weeks (10-11 working days). This timeline excludes payment gateway approval/verification process, which is handled separately and may take additional time depending on Xendit/Midtrans review.</w:t>
      </w:r>
    </w:p>
    <w:tbl>
      <w:tblPr>
        <w:tblW w:type="auto" w:w="0"/>
        <w:tblLook w:firstColumn="1" w:firstRow="1" w:lastColumn="0" w:lastRow="0" w:noHBand="0" w:noVBand="1" w:val="04A0"/>
      </w:tblPr>
      <w:tblGrid>
        <w:gridCol w:w="9406"/>
      </w:tblGrid>
      <w:tr>
        <w:tc>
          <w:tcPr>
            <w:tcW w:type="dxa" w:w="9406"/>
            <w:shd w:fill="EFF6FF"/>
            <w:tcBorders>
              <w:top w:val="single" w:sz="4" w:space="0" w:color="3B82F6"/>
              <w:bottom w:val="single" w:sz="4" w:space="0" w:color="3B82F6"/>
              <w:left w:val="single" w:sz="4" w:space="0" w:color="3B82F6"/>
              <w:right w:val="single" w:sz="4" w:space="0" w:color="3B82F6"/>
            </w:tcBorders>
          </w:tcPr>
          <w:p>
            <w:r/>
            <w:r>
              <w:rPr>
                <w:rFonts w:ascii="Calibri" w:hAnsi="Calibri"/>
                <w:color w:val="1E40AF"/>
                <w:sz w:val="20"/>
              </w:rPr>
              <w:t>Note: Payment gateway approval timeline is NOT included. Xendit/Midtrans account verification and API access approval is handled separately and may take 3-7 business days.</w:t>
            </w:r>
          </w:p>
        </w:tc>
      </w:tr>
    </w:tbl>
    <w:p/>
    <w:p>
      <w:pPr>
        <w:pStyle w:val="Heading2"/>
      </w:pPr>
      <w:r>
        <w:rPr>
          <w:rFonts w:ascii="Calibri" w:hAnsi="Calibri"/>
          <w:color w:val="1E40AF"/>
        </w:rPr>
        <w:t>Week 1: Core Platform</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35"/>
        <w:gridCol w:w="3135"/>
        <w:gridCol w:w="3135"/>
      </w:tblGrid>
      <w:tr>
        <w:tc>
          <w:tcPr>
            <w:tcW w:type="dxa" w:w="1008"/>
            <w:shd w:fill="0F172A"/>
          </w:tcPr>
          <w:p>
            <w:pPr>
              <w:jc w:val="left"/>
            </w:pPr>
            <w:r/>
            <w:r>
              <w:rPr>
                <w:rFonts w:ascii="Calibri" w:hAnsi="Calibri"/>
                <w:b/>
                <w:color w:val="FFFFFF"/>
                <w:sz w:val="20"/>
              </w:rPr>
              <w:t>Day</w:t>
            </w:r>
          </w:p>
        </w:tc>
        <w:tc>
          <w:tcPr>
            <w:tcW w:type="dxa" w:w="2160"/>
            <w:shd w:fill="0F172A"/>
          </w:tcPr>
          <w:p>
            <w:pPr>
              <w:jc w:val="left"/>
            </w:pPr>
            <w:r/>
            <w:r>
              <w:rPr>
                <w:rFonts w:ascii="Calibri" w:hAnsi="Calibri"/>
                <w:b/>
                <w:color w:val="FFFFFF"/>
                <w:sz w:val="20"/>
              </w:rPr>
              <w:t>Focus</w:t>
            </w:r>
          </w:p>
        </w:tc>
        <w:tc>
          <w:tcPr>
            <w:tcW w:type="dxa" w:w="6192"/>
            <w:shd w:fill="0F172A"/>
          </w:tcPr>
          <w:p>
            <w:pPr>
              <w:jc w:val="left"/>
            </w:pPr>
            <w:r/>
            <w:r>
              <w:rPr>
                <w:rFonts w:ascii="Calibri" w:hAnsi="Calibri"/>
                <w:b/>
                <w:color w:val="FFFFFF"/>
                <w:sz w:val="20"/>
              </w:rPr>
              <w:t>Deliverables</w:t>
            </w:r>
          </w:p>
        </w:tc>
      </w:tr>
      <w:tr>
        <w:tc>
          <w:tcPr>
            <w:tcW w:type="dxa" w:w="1008"/>
            <w:shd w:fill="F8FAFC"/>
          </w:tcPr>
          <w:p>
            <w:r/>
            <w:r>
              <w:rPr>
                <w:rFonts w:ascii="Calibri" w:hAnsi="Calibri"/>
                <w:color w:val="1E293B"/>
                <w:sz w:val="20"/>
              </w:rPr>
              <w:t>Day 1</w:t>
            </w:r>
          </w:p>
        </w:tc>
        <w:tc>
          <w:tcPr>
            <w:tcW w:type="dxa" w:w="2160"/>
            <w:shd w:fill="F8FAFC"/>
          </w:tcPr>
          <w:p>
            <w:r/>
            <w:r>
              <w:rPr>
                <w:rFonts w:ascii="Calibri" w:hAnsi="Calibri"/>
                <w:color w:val="1E293B"/>
                <w:sz w:val="20"/>
              </w:rPr>
              <w:t>Foundation</w:t>
            </w:r>
          </w:p>
        </w:tc>
        <w:tc>
          <w:tcPr>
            <w:tcW w:type="dxa" w:w="6192"/>
            <w:shd w:fill="F8FAFC"/>
          </w:tcPr>
          <w:p>
            <w:r/>
            <w:r>
              <w:rPr>
                <w:rFonts w:ascii="Calibri" w:hAnsi="Calibri"/>
                <w:color w:val="1E293B"/>
                <w:sz w:val="20"/>
              </w:rPr>
              <w:t>Project setup, Supabase schema (users, posts, subscriptions, referrals), auth system (sign up / login / reset), base layout &amp; navigation</w:t>
            </w:r>
          </w:p>
        </w:tc>
      </w:tr>
      <w:tr>
        <w:tc>
          <w:tcPr>
            <w:tcW w:type="dxa" w:w="1008"/>
            <w:shd w:fill="FFFFFF"/>
          </w:tcPr>
          <w:p>
            <w:r/>
            <w:r>
              <w:rPr>
                <w:rFonts w:ascii="Calibri" w:hAnsi="Calibri"/>
                <w:color w:val="1E293B"/>
                <w:sz w:val="20"/>
              </w:rPr>
              <w:t>Day 2</w:t>
            </w:r>
          </w:p>
        </w:tc>
        <w:tc>
          <w:tcPr>
            <w:tcW w:type="dxa" w:w="2160"/>
            <w:shd w:fill="FFFFFF"/>
          </w:tcPr>
          <w:p>
            <w:r/>
            <w:r>
              <w:rPr>
                <w:rFonts w:ascii="Calibri" w:hAnsi="Calibri"/>
                <w:color w:val="1E293B"/>
                <w:sz w:val="20"/>
              </w:rPr>
              <w:t>Landing Page</w:t>
            </w:r>
          </w:p>
        </w:tc>
        <w:tc>
          <w:tcPr>
            <w:tcW w:type="dxa" w:w="6192"/>
            <w:shd w:fill="FFFFFF"/>
          </w:tcPr>
          <w:p>
            <w:r/>
            <w:r>
              <w:rPr>
                <w:rFonts w:ascii="Calibri" w:hAnsi="Calibri"/>
                <w:color w:val="1E293B"/>
                <w:sz w:val="20"/>
              </w:rPr>
              <w:t>Public marketing page, value proposition sections, pricing display, sign-up CTA, referral link landing support, responsive design</w:t>
            </w:r>
          </w:p>
        </w:tc>
      </w:tr>
      <w:tr>
        <w:tc>
          <w:tcPr>
            <w:tcW w:type="dxa" w:w="1008"/>
            <w:shd w:fill="F8FAFC"/>
          </w:tcPr>
          <w:p>
            <w:r/>
            <w:r>
              <w:rPr>
                <w:rFonts w:ascii="Calibri" w:hAnsi="Calibri"/>
                <w:color w:val="1E293B"/>
                <w:sz w:val="20"/>
              </w:rPr>
              <w:t>Day 3</w:t>
            </w:r>
          </w:p>
        </w:tc>
        <w:tc>
          <w:tcPr>
            <w:tcW w:type="dxa" w:w="2160"/>
            <w:shd w:fill="F8FAFC"/>
          </w:tcPr>
          <w:p>
            <w:r/>
            <w:r>
              <w:rPr>
                <w:rFonts w:ascii="Calibri" w:hAnsi="Calibri"/>
                <w:color w:val="1E293B"/>
                <w:sz w:val="20"/>
              </w:rPr>
              <w:t>Content System</w:t>
            </w:r>
          </w:p>
        </w:tc>
        <w:tc>
          <w:tcPr>
            <w:tcW w:type="dxa" w:w="6192"/>
            <w:shd w:fill="F8FAFC"/>
          </w:tcPr>
          <w:p>
            <w:r/>
            <w:r>
              <w:rPr>
                <w:rFonts w:ascii="Calibri" w:hAnsi="Calibri"/>
                <w:color w:val="1E293B"/>
                <w:sz w:val="20"/>
              </w:rPr>
              <w:t>Author dashboard, post CRUD, category system, rich text editor, draft &amp; schedule functionality</w:t>
            </w:r>
          </w:p>
        </w:tc>
      </w:tr>
      <w:tr>
        <w:tc>
          <w:tcPr>
            <w:tcW w:type="dxa" w:w="1008"/>
            <w:shd w:fill="FFFFFF"/>
          </w:tcPr>
          <w:p>
            <w:r/>
            <w:r>
              <w:rPr>
                <w:rFonts w:ascii="Calibri" w:hAnsi="Calibri"/>
                <w:color w:val="1E293B"/>
                <w:sz w:val="20"/>
              </w:rPr>
              <w:t>Day 4</w:t>
            </w:r>
          </w:p>
        </w:tc>
        <w:tc>
          <w:tcPr>
            <w:tcW w:type="dxa" w:w="2160"/>
            <w:shd w:fill="FFFFFF"/>
          </w:tcPr>
          <w:p>
            <w:r/>
            <w:r>
              <w:rPr>
                <w:rFonts w:ascii="Calibri" w:hAnsi="Calibri"/>
                <w:color w:val="1E293B"/>
                <w:sz w:val="20"/>
              </w:rPr>
              <w:t>Subscriber Experience</w:t>
            </w:r>
          </w:p>
        </w:tc>
        <w:tc>
          <w:tcPr>
            <w:tcW w:type="dxa" w:w="6192"/>
            <w:shd w:fill="FFFFFF"/>
          </w:tcPr>
          <w:p>
            <w:r/>
            <w:r>
              <w:rPr>
                <w:rFonts w:ascii="Calibri" w:hAnsi="Calibri"/>
                <w:color w:val="1E293B"/>
                <w:sz w:val="20"/>
              </w:rPr>
              <w:t>Subscriber feed, category filtering, daily digest view, post detail page, access gating (subscription check)</w:t>
            </w:r>
          </w:p>
        </w:tc>
      </w:tr>
      <w:tr>
        <w:tc>
          <w:tcPr>
            <w:tcW w:type="dxa" w:w="1008"/>
            <w:shd w:fill="F8FAFC"/>
          </w:tcPr>
          <w:p>
            <w:r/>
            <w:r>
              <w:rPr>
                <w:rFonts w:ascii="Calibri" w:hAnsi="Calibri"/>
                <w:color w:val="1E293B"/>
                <w:sz w:val="20"/>
              </w:rPr>
              <w:t>Day 5</w:t>
            </w:r>
          </w:p>
        </w:tc>
        <w:tc>
          <w:tcPr>
            <w:tcW w:type="dxa" w:w="2160"/>
            <w:shd w:fill="F8FAFC"/>
          </w:tcPr>
          <w:p>
            <w:r/>
            <w:r>
              <w:rPr>
                <w:rFonts w:ascii="Calibri" w:hAnsi="Calibri"/>
                <w:color w:val="1E293B"/>
                <w:sz w:val="20"/>
              </w:rPr>
              <w:t>Payments</w:t>
            </w:r>
          </w:p>
        </w:tc>
        <w:tc>
          <w:tcPr>
            <w:tcW w:type="dxa" w:w="6192"/>
            <w:shd w:fill="F8FAFC"/>
          </w:tcPr>
          <w:p>
            <w:r/>
            <w:r>
              <w:rPr>
                <w:rFonts w:ascii="Calibri" w:hAnsi="Calibri"/>
                <w:color w:val="1E293B"/>
                <w:sz w:val="20"/>
              </w:rPr>
              <w:t>Xendit/Midtrans integration, subscription checkout flow, payment webhooks, subscription status management, renewal logic</w:t>
            </w:r>
          </w:p>
        </w:tc>
      </w:tr>
    </w:tbl>
    <w:p/>
    <w:p>
      <w:pPr>
        <w:pStyle w:val="Heading2"/>
      </w:pPr>
      <w:r>
        <w:rPr>
          <w:rFonts w:ascii="Calibri" w:hAnsi="Calibri"/>
          <w:color w:val="1E40AF"/>
        </w:rPr>
        <w:t>Week 2: Advanced Features &amp; Launch</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35"/>
        <w:gridCol w:w="3135"/>
        <w:gridCol w:w="3135"/>
      </w:tblGrid>
      <w:tr>
        <w:tc>
          <w:tcPr>
            <w:tcW w:type="dxa" w:w="1152"/>
            <w:shd w:fill="0F172A"/>
          </w:tcPr>
          <w:p>
            <w:pPr>
              <w:jc w:val="left"/>
            </w:pPr>
            <w:r/>
            <w:r>
              <w:rPr>
                <w:rFonts w:ascii="Calibri" w:hAnsi="Calibri"/>
                <w:b/>
                <w:color w:val="FFFFFF"/>
                <w:sz w:val="20"/>
              </w:rPr>
              <w:t>Day</w:t>
            </w:r>
          </w:p>
        </w:tc>
        <w:tc>
          <w:tcPr>
            <w:tcW w:type="dxa" w:w="2160"/>
            <w:shd w:fill="0F172A"/>
          </w:tcPr>
          <w:p>
            <w:pPr>
              <w:jc w:val="left"/>
            </w:pPr>
            <w:r/>
            <w:r>
              <w:rPr>
                <w:rFonts w:ascii="Calibri" w:hAnsi="Calibri"/>
                <w:b/>
                <w:color w:val="FFFFFF"/>
                <w:sz w:val="20"/>
              </w:rPr>
              <w:t>Focus</w:t>
            </w:r>
          </w:p>
        </w:tc>
        <w:tc>
          <w:tcPr>
            <w:tcW w:type="dxa" w:w="6048"/>
            <w:shd w:fill="0F172A"/>
          </w:tcPr>
          <w:p>
            <w:pPr>
              <w:jc w:val="left"/>
            </w:pPr>
            <w:r/>
            <w:r>
              <w:rPr>
                <w:rFonts w:ascii="Calibri" w:hAnsi="Calibri"/>
                <w:b/>
                <w:color w:val="FFFFFF"/>
                <w:sz w:val="20"/>
              </w:rPr>
              <w:t>Deliverables</w:t>
            </w:r>
          </w:p>
        </w:tc>
      </w:tr>
      <w:tr>
        <w:tc>
          <w:tcPr>
            <w:tcW w:type="dxa" w:w="1152"/>
            <w:shd w:fill="F8FAFC"/>
          </w:tcPr>
          <w:p>
            <w:r/>
            <w:r>
              <w:rPr>
                <w:rFonts w:ascii="Calibri" w:hAnsi="Calibri"/>
                <w:color w:val="1E293B"/>
                <w:sz w:val="20"/>
              </w:rPr>
              <w:t>Day 6</w:t>
            </w:r>
          </w:p>
        </w:tc>
        <w:tc>
          <w:tcPr>
            <w:tcW w:type="dxa" w:w="2160"/>
            <w:shd w:fill="F8FAFC"/>
          </w:tcPr>
          <w:p>
            <w:r/>
            <w:r>
              <w:rPr>
                <w:rFonts w:ascii="Calibri" w:hAnsi="Calibri"/>
                <w:color w:val="1E293B"/>
                <w:sz w:val="20"/>
              </w:rPr>
              <w:t>Referral System</w:t>
            </w:r>
          </w:p>
        </w:tc>
        <w:tc>
          <w:tcPr>
            <w:tcW w:type="dxa" w:w="6048"/>
            <w:shd w:fill="F8FAFC"/>
          </w:tcPr>
          <w:p>
            <w:r/>
            <w:r>
              <w:rPr>
                <w:rFonts w:ascii="Calibri" w:hAnsi="Calibri"/>
                <w:color w:val="1E293B"/>
                <w:sz w:val="20"/>
              </w:rPr>
              <w:t>Referral code generation, tracking &amp; attribution, commission logic, referral dashboard for users</w:t>
            </w:r>
          </w:p>
        </w:tc>
      </w:tr>
      <w:tr>
        <w:tc>
          <w:tcPr>
            <w:tcW w:type="dxa" w:w="1152"/>
            <w:shd w:fill="FFFFFF"/>
          </w:tcPr>
          <w:p>
            <w:r/>
            <w:r>
              <w:rPr>
                <w:rFonts w:ascii="Calibri" w:hAnsi="Calibri"/>
                <w:color w:val="1E293B"/>
                <w:sz w:val="20"/>
              </w:rPr>
              <w:t>Day 7</w:t>
            </w:r>
          </w:p>
        </w:tc>
        <w:tc>
          <w:tcPr>
            <w:tcW w:type="dxa" w:w="2160"/>
            <w:shd w:fill="FFFFFF"/>
          </w:tcPr>
          <w:p>
            <w:r/>
            <w:r>
              <w:rPr>
                <w:rFonts w:ascii="Calibri" w:hAnsi="Calibri"/>
                <w:color w:val="1E293B"/>
                <w:sz w:val="20"/>
              </w:rPr>
              <w:t>Admin Dashboard</w:t>
            </w:r>
          </w:p>
        </w:tc>
        <w:tc>
          <w:tcPr>
            <w:tcW w:type="dxa" w:w="6048"/>
            <w:shd w:fill="FFFFFF"/>
          </w:tcPr>
          <w:p>
            <w:r/>
            <w:r>
              <w:rPr>
                <w:rFonts w:ascii="Calibri" w:hAnsi="Calibri"/>
                <w:color w:val="1E293B"/>
                <w:sz w:val="20"/>
              </w:rPr>
              <w:t>User management, subscription/revenue overview, referral management &amp; payouts, content management</w:t>
            </w:r>
          </w:p>
        </w:tc>
      </w:tr>
      <w:tr>
        <w:tc>
          <w:tcPr>
            <w:tcW w:type="dxa" w:w="1152"/>
            <w:shd w:fill="F8FAFC"/>
          </w:tcPr>
          <w:p>
            <w:r/>
            <w:r>
              <w:rPr>
                <w:rFonts w:ascii="Calibri" w:hAnsi="Calibri"/>
                <w:color w:val="1E293B"/>
                <w:sz w:val="20"/>
              </w:rPr>
              <w:t>Day 8</w:t>
            </w:r>
          </w:p>
        </w:tc>
        <w:tc>
          <w:tcPr>
            <w:tcW w:type="dxa" w:w="2160"/>
            <w:shd w:fill="F8FAFC"/>
          </w:tcPr>
          <w:p>
            <w:r/>
            <w:r>
              <w:rPr>
                <w:rFonts w:ascii="Calibri" w:hAnsi="Calibri"/>
                <w:color w:val="1E293B"/>
                <w:sz w:val="20"/>
              </w:rPr>
              <w:t>News Recycler</w:t>
            </w:r>
          </w:p>
        </w:tc>
        <w:tc>
          <w:tcPr>
            <w:tcW w:type="dxa" w:w="6048"/>
            <w:shd w:fill="F8FAFC"/>
          </w:tcPr>
          <w:p>
            <w:r/>
            <w:r>
              <w:rPr>
                <w:rFonts w:ascii="Calibri" w:hAnsi="Calibri"/>
                <w:color w:val="1E293B"/>
                <w:sz w:val="20"/>
              </w:rPr>
              <w:t>News ingestion (RSS + manual), AI text rewriting (OpenAI), review queue UI, approve/reject workflow</w:t>
            </w:r>
          </w:p>
        </w:tc>
      </w:tr>
      <w:tr>
        <w:tc>
          <w:tcPr>
            <w:tcW w:type="dxa" w:w="1152"/>
            <w:shd w:fill="FFFFFF"/>
          </w:tcPr>
          <w:p>
            <w:r/>
            <w:r>
              <w:rPr>
                <w:rFonts w:ascii="Calibri" w:hAnsi="Calibri"/>
                <w:color w:val="1E293B"/>
                <w:sz w:val="20"/>
              </w:rPr>
              <w:t>Day 9</w:t>
            </w:r>
          </w:p>
        </w:tc>
        <w:tc>
          <w:tcPr>
            <w:tcW w:type="dxa" w:w="2160"/>
            <w:shd w:fill="FFFFFF"/>
          </w:tcPr>
          <w:p>
            <w:r/>
            <w:r>
              <w:rPr>
                <w:rFonts w:ascii="Calibri" w:hAnsi="Calibri"/>
                <w:color w:val="1E293B"/>
                <w:sz w:val="20"/>
              </w:rPr>
              <w:t>AI Image Redraw</w:t>
            </w:r>
          </w:p>
        </w:tc>
        <w:tc>
          <w:tcPr>
            <w:tcW w:type="dxa" w:w="6048"/>
            <w:shd w:fill="FFFFFF"/>
          </w:tcPr>
          <w:p>
            <w:r/>
            <w:r>
              <w:rPr>
                <w:rFonts w:ascii="Calibri" w:hAnsi="Calibri"/>
                <w:color w:val="1E293B"/>
                <w:sz w:val="20"/>
              </w:rPr>
              <w:t>Image detection in source articles, AI image regeneration, integration with review queue, news source configuration in admin</w:t>
            </w:r>
          </w:p>
        </w:tc>
      </w:tr>
      <w:tr>
        <w:tc>
          <w:tcPr>
            <w:tcW w:type="dxa" w:w="1152"/>
            <w:shd w:fill="F8FAFC"/>
          </w:tcPr>
          <w:p>
            <w:r/>
            <w:r>
              <w:rPr>
                <w:rFonts w:ascii="Calibri" w:hAnsi="Calibri"/>
                <w:color w:val="1E293B"/>
                <w:sz w:val="20"/>
              </w:rPr>
              <w:t>Day 10-11</w:t>
            </w:r>
          </w:p>
        </w:tc>
        <w:tc>
          <w:tcPr>
            <w:tcW w:type="dxa" w:w="2160"/>
            <w:shd w:fill="F8FAFC"/>
          </w:tcPr>
          <w:p>
            <w:r/>
            <w:r>
              <w:rPr>
                <w:rFonts w:ascii="Calibri" w:hAnsi="Calibri"/>
                <w:color w:val="1E293B"/>
                <w:sz w:val="20"/>
              </w:rPr>
              <w:t>Polish &amp; Deploy</w:t>
            </w:r>
          </w:p>
        </w:tc>
        <w:tc>
          <w:tcPr>
            <w:tcW w:type="dxa" w:w="6048"/>
            <w:shd w:fill="F8FAFC"/>
          </w:tcPr>
          <w:p>
            <w:r/>
            <w:r>
              <w:rPr>
                <w:rFonts w:ascii="Calibri" w:hAnsi="Calibri"/>
                <w:color w:val="1E293B"/>
                <w:sz w:val="20"/>
              </w:rPr>
              <w:t>Bug fixes, mobile responsiveness, end-to-end flow testing, performance optimization, production deployment (Vercel + Supabase)</w:t>
            </w:r>
          </w:p>
        </w:tc>
      </w:tr>
    </w:tbl>
    <w:p/>
    <w:p>
      <w:pPr>
        <w:pStyle w:val="Heading1"/>
      </w:pPr>
      <w:r>
        <w:rPr>
          <w:rFonts w:ascii="Calibri" w:hAnsi="Calibri"/>
          <w:color w:val="0F172A"/>
        </w:rPr>
        <w:t>12. Tech Stack</w:t>
      </w:r>
    </w:p>
    <w:p>
      <w:pPr>
        <w:spacing w:before="0" w:after="240"/>
        <w:pBdr>
          <w:bottom w:val="single" w:sz="12" w:space="1" w:color="3B82F6"/>
        </w:pBdr>
      </w:pP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35"/>
        <w:gridCol w:w="3135"/>
        <w:gridCol w:w="3135"/>
      </w:tblGrid>
      <w:tr>
        <w:tc>
          <w:tcPr>
            <w:tcW w:type="dxa" w:w="1872"/>
            <w:shd w:fill="0F172A"/>
          </w:tcPr>
          <w:p>
            <w:pPr>
              <w:jc w:val="left"/>
            </w:pPr>
            <w:r/>
            <w:r>
              <w:rPr>
                <w:rFonts w:ascii="Calibri" w:hAnsi="Calibri"/>
                <w:b/>
                <w:color w:val="FFFFFF"/>
                <w:sz w:val="20"/>
              </w:rPr>
              <w:t>Layer</w:t>
            </w:r>
          </w:p>
        </w:tc>
        <w:tc>
          <w:tcPr>
            <w:tcW w:type="dxa" w:w="3168"/>
            <w:shd w:fill="0F172A"/>
          </w:tcPr>
          <w:p>
            <w:pPr>
              <w:jc w:val="left"/>
            </w:pPr>
            <w:r/>
            <w:r>
              <w:rPr>
                <w:rFonts w:ascii="Calibri" w:hAnsi="Calibri"/>
                <w:b/>
                <w:color w:val="FFFFFF"/>
                <w:sz w:val="20"/>
              </w:rPr>
              <w:t>Technology</w:t>
            </w:r>
          </w:p>
        </w:tc>
        <w:tc>
          <w:tcPr>
            <w:tcW w:type="dxa" w:w="4320"/>
            <w:shd w:fill="0F172A"/>
          </w:tcPr>
          <w:p>
            <w:pPr>
              <w:jc w:val="left"/>
            </w:pPr>
            <w:r/>
            <w:r>
              <w:rPr>
                <w:rFonts w:ascii="Calibri" w:hAnsi="Calibri"/>
                <w:b/>
                <w:color w:val="FFFFFF"/>
                <w:sz w:val="20"/>
              </w:rPr>
              <w:t>Purpose</w:t>
            </w:r>
          </w:p>
        </w:tc>
      </w:tr>
      <w:tr>
        <w:tc>
          <w:tcPr>
            <w:tcW w:type="dxa" w:w="1872"/>
            <w:shd w:fill="F8FAFC"/>
          </w:tcPr>
          <w:p>
            <w:r/>
            <w:r>
              <w:rPr>
                <w:rFonts w:ascii="Calibri" w:hAnsi="Calibri"/>
                <w:color w:val="1E293B"/>
                <w:sz w:val="20"/>
              </w:rPr>
              <w:t>Frontend</w:t>
            </w:r>
          </w:p>
        </w:tc>
        <w:tc>
          <w:tcPr>
            <w:tcW w:type="dxa" w:w="3168"/>
            <w:shd w:fill="F8FAFC"/>
          </w:tcPr>
          <w:p>
            <w:r/>
            <w:r>
              <w:rPr>
                <w:rFonts w:ascii="Calibri" w:hAnsi="Calibri"/>
                <w:color w:val="1E293B"/>
                <w:sz w:val="20"/>
              </w:rPr>
              <w:t>Next.js 14 (App Router)</w:t>
            </w:r>
          </w:p>
        </w:tc>
        <w:tc>
          <w:tcPr>
            <w:tcW w:type="dxa" w:w="4320"/>
            <w:shd w:fill="F8FAFC"/>
          </w:tcPr>
          <w:p>
            <w:r/>
            <w:r>
              <w:rPr>
                <w:rFonts w:ascii="Calibri" w:hAnsi="Calibri"/>
                <w:color w:val="1E293B"/>
                <w:sz w:val="20"/>
              </w:rPr>
              <w:t>React framework with SSR, API routes</w:t>
            </w:r>
          </w:p>
        </w:tc>
      </w:tr>
      <w:tr>
        <w:tc>
          <w:tcPr>
            <w:tcW w:type="dxa" w:w="1872"/>
            <w:shd w:fill="FFFFFF"/>
          </w:tcPr>
          <w:p>
            <w:r/>
            <w:r>
              <w:rPr>
                <w:rFonts w:ascii="Calibri" w:hAnsi="Calibri"/>
                <w:color w:val="1E293B"/>
                <w:sz w:val="20"/>
              </w:rPr>
              <w:t>UI Components</w:t>
            </w:r>
          </w:p>
        </w:tc>
        <w:tc>
          <w:tcPr>
            <w:tcW w:type="dxa" w:w="3168"/>
            <w:shd w:fill="FFFFFF"/>
          </w:tcPr>
          <w:p>
            <w:r/>
            <w:r>
              <w:rPr>
                <w:rFonts w:ascii="Calibri" w:hAnsi="Calibri"/>
                <w:color w:val="1E293B"/>
                <w:sz w:val="20"/>
              </w:rPr>
              <w:t>Tailwind CSS + shadcn/ui</w:t>
            </w:r>
          </w:p>
        </w:tc>
        <w:tc>
          <w:tcPr>
            <w:tcW w:type="dxa" w:w="4320"/>
            <w:shd w:fill="FFFFFF"/>
          </w:tcPr>
          <w:p>
            <w:r/>
            <w:r>
              <w:rPr>
                <w:rFonts w:ascii="Calibri" w:hAnsi="Calibri"/>
                <w:color w:val="1E293B"/>
                <w:sz w:val="20"/>
              </w:rPr>
              <w:t>Rapid UI development, consistent design system</w:t>
            </w:r>
          </w:p>
        </w:tc>
      </w:tr>
      <w:tr>
        <w:tc>
          <w:tcPr>
            <w:tcW w:type="dxa" w:w="1872"/>
            <w:shd w:fill="F8FAFC"/>
          </w:tcPr>
          <w:p>
            <w:r/>
            <w:r>
              <w:rPr>
                <w:rFonts w:ascii="Calibri" w:hAnsi="Calibri"/>
                <w:color w:val="1E293B"/>
                <w:sz w:val="20"/>
              </w:rPr>
              <w:t>Backend / DB</w:t>
            </w:r>
          </w:p>
        </w:tc>
        <w:tc>
          <w:tcPr>
            <w:tcW w:type="dxa" w:w="3168"/>
            <w:shd w:fill="F8FAFC"/>
          </w:tcPr>
          <w:p>
            <w:r/>
            <w:r>
              <w:rPr>
                <w:rFonts w:ascii="Calibri" w:hAnsi="Calibri"/>
                <w:color w:val="1E293B"/>
                <w:sz w:val="20"/>
              </w:rPr>
              <w:t>Supabase (PostgreSQL)</w:t>
            </w:r>
          </w:p>
        </w:tc>
        <w:tc>
          <w:tcPr>
            <w:tcW w:type="dxa" w:w="4320"/>
            <w:shd w:fill="F8FAFC"/>
          </w:tcPr>
          <w:p>
            <w:r/>
            <w:r>
              <w:rPr>
                <w:rFonts w:ascii="Calibri" w:hAnsi="Calibri"/>
                <w:color w:val="1E293B"/>
                <w:sz w:val="20"/>
              </w:rPr>
              <w:t>Auth, database, storage, row-level security</w:t>
            </w:r>
          </w:p>
        </w:tc>
      </w:tr>
      <w:tr>
        <w:tc>
          <w:tcPr>
            <w:tcW w:type="dxa" w:w="1872"/>
            <w:shd w:fill="FFFFFF"/>
          </w:tcPr>
          <w:p>
            <w:r/>
            <w:r>
              <w:rPr>
                <w:rFonts w:ascii="Calibri" w:hAnsi="Calibri"/>
                <w:color w:val="1E293B"/>
                <w:sz w:val="20"/>
              </w:rPr>
              <w:t>Payments</w:t>
            </w:r>
          </w:p>
        </w:tc>
        <w:tc>
          <w:tcPr>
            <w:tcW w:type="dxa" w:w="3168"/>
            <w:shd w:fill="FFFFFF"/>
          </w:tcPr>
          <w:p>
            <w:r/>
            <w:r>
              <w:rPr>
                <w:rFonts w:ascii="Calibri" w:hAnsi="Calibri"/>
                <w:color w:val="1E293B"/>
                <w:sz w:val="20"/>
              </w:rPr>
              <w:t>Xendit</w:t>
            </w:r>
          </w:p>
        </w:tc>
        <w:tc>
          <w:tcPr>
            <w:tcW w:type="dxa" w:w="4320"/>
            <w:shd w:fill="FFFFFF"/>
          </w:tcPr>
          <w:p>
            <w:r/>
            <w:r>
              <w:rPr>
                <w:rFonts w:ascii="Calibri" w:hAnsi="Calibri"/>
                <w:color w:val="1E293B"/>
                <w:sz w:val="20"/>
              </w:rPr>
              <w:t>Indonesian payment gateway integration</w:t>
            </w:r>
          </w:p>
        </w:tc>
      </w:tr>
      <w:tr>
        <w:tc>
          <w:tcPr>
            <w:tcW w:type="dxa" w:w="1872"/>
            <w:shd w:fill="F8FAFC"/>
          </w:tcPr>
          <w:p>
            <w:r/>
            <w:r>
              <w:rPr>
                <w:rFonts w:ascii="Calibri" w:hAnsi="Calibri"/>
                <w:color w:val="1E293B"/>
                <w:sz w:val="20"/>
              </w:rPr>
              <w:t>AI - Text</w:t>
            </w:r>
          </w:p>
        </w:tc>
        <w:tc>
          <w:tcPr>
            <w:tcW w:type="dxa" w:w="3168"/>
            <w:shd w:fill="F8FAFC"/>
          </w:tcPr>
          <w:p>
            <w:r/>
            <w:r>
              <w:rPr>
                <w:rFonts w:ascii="Calibri" w:hAnsi="Calibri"/>
                <w:color w:val="1E293B"/>
                <w:sz w:val="20"/>
              </w:rPr>
              <w:t>OpenAI GPT-4o</w:t>
            </w:r>
          </w:p>
        </w:tc>
        <w:tc>
          <w:tcPr>
            <w:tcW w:type="dxa" w:w="4320"/>
            <w:shd w:fill="F8FAFC"/>
          </w:tcPr>
          <w:p>
            <w:r/>
            <w:r>
              <w:rPr>
                <w:rFonts w:ascii="Calibri" w:hAnsi="Calibri"/>
                <w:color w:val="1E293B"/>
                <w:sz w:val="20"/>
              </w:rPr>
              <w:t>News article rewriting and paraphrasing</w:t>
            </w:r>
          </w:p>
        </w:tc>
      </w:tr>
      <w:tr>
        <w:tc>
          <w:tcPr>
            <w:tcW w:type="dxa" w:w="1872"/>
            <w:shd w:fill="FFFFFF"/>
          </w:tcPr>
          <w:p>
            <w:r/>
            <w:r>
              <w:rPr>
                <w:rFonts w:ascii="Calibri" w:hAnsi="Calibri"/>
                <w:color w:val="1E293B"/>
                <w:sz w:val="20"/>
              </w:rPr>
              <w:t>AI - Images</w:t>
            </w:r>
          </w:p>
        </w:tc>
        <w:tc>
          <w:tcPr>
            <w:tcW w:type="dxa" w:w="3168"/>
            <w:shd w:fill="FFFFFF"/>
          </w:tcPr>
          <w:p>
            <w:r/>
            <w:r>
              <w:rPr>
                <w:rFonts w:ascii="Calibri" w:hAnsi="Calibri"/>
                <w:color w:val="1E293B"/>
                <w:sz w:val="20"/>
              </w:rPr>
              <w:t>OpenAI DALL-E 3</w:t>
            </w:r>
          </w:p>
        </w:tc>
        <w:tc>
          <w:tcPr>
            <w:tcW w:type="dxa" w:w="4320"/>
            <w:shd w:fill="FFFFFF"/>
          </w:tcPr>
          <w:p>
            <w:r/>
            <w:r>
              <w:rPr>
                <w:rFonts w:ascii="Calibri" w:hAnsi="Calibri"/>
                <w:color w:val="1E293B"/>
                <w:sz w:val="20"/>
              </w:rPr>
              <w:t>Chart and image redrawing for copyright avoidance</w:t>
            </w:r>
          </w:p>
        </w:tc>
      </w:tr>
      <w:tr>
        <w:tc>
          <w:tcPr>
            <w:tcW w:type="dxa" w:w="1872"/>
            <w:shd w:fill="F8FAFC"/>
          </w:tcPr>
          <w:p>
            <w:r/>
            <w:r>
              <w:rPr>
                <w:rFonts w:ascii="Calibri" w:hAnsi="Calibri"/>
                <w:color w:val="1E293B"/>
                <w:sz w:val="20"/>
              </w:rPr>
              <w:t>Deployment</w:t>
            </w:r>
          </w:p>
        </w:tc>
        <w:tc>
          <w:tcPr>
            <w:tcW w:type="dxa" w:w="3168"/>
            <w:shd w:fill="F8FAFC"/>
          </w:tcPr>
          <w:p>
            <w:r/>
            <w:r>
              <w:rPr>
                <w:rFonts w:ascii="Calibri" w:hAnsi="Calibri"/>
                <w:color w:val="1E293B"/>
                <w:sz w:val="20"/>
              </w:rPr>
              <w:t>Vercel</w:t>
            </w:r>
          </w:p>
        </w:tc>
        <w:tc>
          <w:tcPr>
            <w:tcW w:type="dxa" w:w="4320"/>
            <w:shd w:fill="F8FAFC"/>
          </w:tcPr>
          <w:p>
            <w:r/>
            <w:r>
              <w:rPr>
                <w:rFonts w:ascii="Calibri" w:hAnsi="Calibri"/>
                <w:color w:val="1E293B"/>
                <w:sz w:val="20"/>
              </w:rPr>
              <w:t>Frontend hosting, edge functions, CI/CD</w:t>
            </w:r>
          </w:p>
        </w:tc>
      </w:tr>
      <w:tr>
        <w:tc>
          <w:tcPr>
            <w:tcW w:type="dxa" w:w="1872"/>
            <w:shd w:fill="FFFFFF"/>
          </w:tcPr>
          <w:p>
            <w:r/>
            <w:r>
              <w:rPr>
                <w:rFonts w:ascii="Calibri" w:hAnsi="Calibri"/>
                <w:color w:val="1E293B"/>
                <w:sz w:val="20"/>
              </w:rPr>
              <w:t>Rich Text</w:t>
            </w:r>
          </w:p>
        </w:tc>
        <w:tc>
          <w:tcPr>
            <w:tcW w:type="dxa" w:w="3168"/>
            <w:shd w:fill="FFFFFF"/>
          </w:tcPr>
          <w:p>
            <w:r/>
            <w:r>
              <w:rPr>
                <w:rFonts w:ascii="Calibri" w:hAnsi="Calibri"/>
                <w:color w:val="1E293B"/>
                <w:sz w:val="20"/>
              </w:rPr>
              <w:t>Tiptap / Novel</w:t>
            </w:r>
          </w:p>
        </w:tc>
        <w:tc>
          <w:tcPr>
            <w:tcW w:type="dxa" w:w="4320"/>
            <w:shd w:fill="FFFFFF"/>
          </w:tcPr>
          <w:p>
            <w:r/>
            <w:r>
              <w:rPr>
                <w:rFonts w:ascii="Calibri" w:hAnsi="Calibri"/>
                <w:color w:val="1E293B"/>
                <w:sz w:val="20"/>
              </w:rPr>
              <w:t>WYSIWYG editor for author post creation</w:t>
            </w:r>
          </w:p>
        </w:tc>
      </w:tr>
    </w:tbl>
    <w:p/>
    <w:p>
      <w:pPr>
        <w:pStyle w:val="Heading1"/>
      </w:pPr>
      <w:r>
        <w:rPr>
          <w:rFonts w:ascii="Calibri" w:hAnsi="Calibri"/>
          <w:color w:val="0F172A"/>
        </w:rPr>
        <w:t>13. Open Questions / Future Considerations</w:t>
      </w:r>
    </w:p>
    <w:p>
      <w:pPr>
        <w:spacing w:before="0" w:after="240"/>
        <w:pBdr>
          <w:bottom w:val="single" w:sz="12" w:space="1" w:color="3B82F6"/>
        </w:pBdr>
      </w:pPr>
    </w:p>
    <w:p>
      <w:pPr>
        <w:spacing w:after="80"/>
      </w:pPr>
      <w:r>
        <w:rPr>
          <w:rFonts w:ascii="Calibri" w:hAnsi="Calibri"/>
          <w:color w:val="1E293B"/>
          <w:sz w:val="22"/>
        </w:rPr>
        <w:t>[ ]  Exact monthly subscription price (IDR)</w:t>
      </w:r>
    </w:p>
    <w:p>
      <w:pPr>
        <w:spacing w:after="80"/>
      </w:pPr>
      <w:r>
        <w:rPr>
          <w:rFonts w:ascii="Calibri" w:hAnsi="Calibri"/>
          <w:color w:val="1E293B"/>
          <w:sz w:val="22"/>
        </w:rPr>
        <w:t>[ ]  Exact referral commission amount (IDR)</w:t>
      </w:r>
    </w:p>
    <w:p>
      <w:pPr>
        <w:spacing w:after="80"/>
      </w:pPr>
      <w:r>
        <w:rPr>
          <w:rFonts w:ascii="Calibri" w:hAnsi="Calibri"/>
          <w:color w:val="1E293B"/>
          <w:sz w:val="22"/>
        </w:rPr>
        <w:t>[ ]  Attribution model for referrals (first-click vs last-click)</w:t>
      </w:r>
    </w:p>
    <w:p>
      <w:pPr>
        <w:spacing w:after="80"/>
      </w:pPr>
      <w:r>
        <w:rPr>
          <w:rFonts w:ascii="Calibri" w:hAnsi="Calibri"/>
          <w:color w:val="1E293B"/>
          <w:sz w:val="22"/>
        </w:rPr>
        <w:t>[ ]  Specific premium news sources to integrate</w:t>
      </w:r>
    </w:p>
    <w:p>
      <w:pPr>
        <w:spacing w:after="80"/>
      </w:pPr>
      <w:r>
        <w:rPr>
          <w:rFonts w:ascii="Calibri" w:hAnsi="Calibri"/>
          <w:color w:val="1E293B"/>
          <w:sz w:val="22"/>
        </w:rPr>
        <w:t>[ ]  Domain name (amrap.com or alternative)</w:t>
      </w:r>
    </w:p>
    <w:p>
      <w:pPr>
        <w:spacing w:after="80"/>
      </w:pPr>
      <w:r>
        <w:rPr>
          <w:rFonts w:ascii="Calibri" w:hAnsi="Calibri"/>
          <w:color w:val="1E293B"/>
          <w:sz w:val="22"/>
        </w:rPr>
        <w:t>[ ]  Mobile app in the future?</w:t>
      </w:r>
    </w:p>
    <w:p>
      <w:pPr>
        <w:spacing w:after="80"/>
      </w:pPr>
      <w:r>
        <w:rPr>
          <w:rFonts w:ascii="Calibri" w:hAnsi="Calibri"/>
          <w:color w:val="1E293B"/>
          <w:sz w:val="22"/>
        </w:rPr>
        <w:t>[ ]  Telegram / WhatsApp notifications in the future?</w:t>
      </w:r>
    </w:p>
    <w:p>
      <w:pPr>
        <w:spacing w:after="80"/>
      </w:pPr>
      <w:r>
        <w:rPr>
          <w:rFonts w:ascii="Calibri" w:hAnsi="Calibri"/>
          <w:color w:val="1E293B"/>
          <w:sz w:val="22"/>
        </w:rPr>
        <w:t>[ ]  Free trial period before requiring payment?</w:t>
      </w:r>
    </w:p>
    <w:p/>
    <w:p/>
    <w:p>
      <w:pPr>
        <w:jc w:val="center"/>
        <w:pBdr>
          <w:top w:val="single" w:sz="8" w:space="4" w:color="E2E8F0"/>
        </w:pBdr>
      </w:pPr>
      <w:r>
        <w:rPr>
          <w:rFonts w:ascii="Calibri" w:hAnsi="Calibri"/>
          <w:i/>
          <w:color w:val="64748B"/>
          <w:sz w:val="18"/>
        </w:rPr>
        <w:t>AMRAP — Ant Market Research Action Protocol | Product Specification v1.0 | 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