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Business Case</w:t>
      </w:r>
    </w:p>
    <w:p>
      <w:pPr>
        <w:spacing w:after="180"/>
      </w:pPr>
      <w:r>
        <w:rPr>
          <w:b/>
          <w:bCs/>
          <w:color w:val="1F6F63"/>
          <w:sz w:val="24"/>
          <w:szCs w:val="24"/>
        </w:rPr>
        <w:t xml:space="preserve">Clara</w:t>
      </w:r>
    </w:p>
    <w:p>
      <w:pPr>
        <w:spacing w:after="120" w:line="276"/>
      </w:pPr>
      <w:r>
        <w:rPr>
          <w:sz w:val="21"/>
          <w:szCs w:val="21"/>
        </w:rPr>
        <w:t xml:space="preserve">Document 1 of 13: Business Case</w:t>
      </w:r>
    </w:p>
    <w:p>
      <w:pPr>
        <w:spacing w:after="120" w:line="276"/>
      </w:pPr>
      <w:r>
        <w:rPr>
          <w:sz w:val="21"/>
          <w:szCs w:val="21"/>
        </w:rPr>
        <w:t xml:space="preserve">Version 0.2 - Draft for Review</w:t>
      </w:r>
    </w:p>
    <w:p>
      <w:pPr>
        <w:spacing w:after="120" w:line="276"/>
      </w:pPr>
      <w:r>
        <w:rPr>
          <w:sz w:val="21"/>
          <w:szCs w:val="21"/>
        </w:rPr>
        <w:t xml:space="preserve">Author: Rafif Muhammad Ransi Anargya</w:t>
      </w:r>
    </w:p>
    <w:p>
      <w:pPr>
        <w:spacing w:after="260" w:line="276"/>
      </w:pPr>
      <w:r>
        <w:rPr>
          <w:sz w:val="21"/>
          <w:szCs w:val="21"/>
        </w:rPr>
        <w:t xml:space="preserve">Date: 21 September 2026</w:t>
      </w:r>
    </w:p>
    <w:p>
      <w:pPr>
        <w:pStyle w:val="Heading1"/>
        <w:spacing w:after="140" w:before="280"/>
      </w:pPr>
      <w:r>
        <w:rPr>
          <w:b/>
          <w:bCs/>
          <w:sz w:val="26"/>
          <w:szCs w:val="26"/>
        </w:rPr>
        <w:t xml:space="preserve">1. Purpose</w:t>
      </w:r>
    </w:p>
    <w:p>
      <w:pPr>
        <w:spacing w:after="120" w:line="276"/>
      </w:pPr>
      <w:r>
        <w:rPr>
          <w:sz w:val="22"/>
          <w:szCs w:val="22"/>
        </w:rPr>
        <w:t xml:space="preserve">This document establishes the business justification for building Clara, a payment facilitator and service-discovery layer for machine-to-machine payments on the Stellar network, before engineering effort is committed to its design and construction.</w:t>
      </w:r>
    </w:p>
    <w:p>
      <w:pPr>
        <w:pStyle w:val="Heading1"/>
        <w:spacing w:after="140" w:before="280"/>
      </w:pPr>
      <w:r>
        <w:rPr>
          <w:b/>
          <w:bCs/>
          <w:sz w:val="26"/>
          <w:szCs w:val="26"/>
        </w:rPr>
        <w:t xml:space="preserve">2. Revision Note: Change of Product Direction</w:t>
      </w:r>
    </w:p>
    <w:p>
      <w:pPr>
        <w:spacing w:after="120" w:line="276"/>
      </w:pPr>
      <w:r>
        <w:rPr>
          <w:sz w:val="22"/>
          <w:szCs w:val="22"/>
        </w:rPr>
        <w:t xml:space="preserve">This document set was originally drafted on 15 September 2026 for a product named StellarStream: a real-time, filtered, gRPC event-streaming service for the Stellar network, modelled on Solana's Geyser and Yellowstone infrastructure. That direction has been withdrawn. This version replaces it in full.</w:t>
      </w:r>
    </w:p>
    <w:p>
      <w:pPr>
        <w:spacing w:after="140" w:line="276"/>
      </w:pPr>
      <w:r>
        <w:rPr>
          <w:sz w:val="22"/>
          <w:szCs w:val="22"/>
        </w:rPr>
        <w:t xml:space="preserve">The withdrawal followed an ecosystem prior-art review that materially contradicted the original problem statement. StellarStream's Business Case asserted that no service in the Stellar ecosystem provided a comparable streaming layer, having reviewed only Galexie, Obsrvr, and Quasar. A wider review found that the category is substantially served:</w:t>
      </w:r>
    </w:p>
    <w:tbl>
      <w:tblPr>
        <w:tblW w:type="dxa" w:w="9360"/>
        <w:tblBorders>
          <w:top w:val="single" w:color="BFC9C3" w:sz="4"/>
          <w:left w:val="single" w:color="BFC9C3" w:sz="4"/>
          <w:bottom w:val="single" w:color="BFC9C3" w:sz="4"/>
          <w:right w:val="single" w:color="BFC9C3" w:sz="4"/>
          <w:insideH w:val="single" w:color="D7DED9" w:sz="4"/>
          <w:insideV w:val="single" w:color="D7DED9" w:sz="4"/>
        </w:tblBorders>
      </w:tblPr>
      <w:tblGrid>
        <w:gridCol w:w="2100"/>
        <w:gridCol w:w="7260"/>
      </w:tblGrid>
      <w:tr>
        <w:trPr>
          <w:tblHeader/>
        </w:trPr>
        <w:tc>
          <w:tcPr>
            <w:tcW w:type="dxa" w:w="2100"/>
            <w:shd w:fill="E7ECE6" w:val="clear"/>
            <w:tcMar>
              <w:top w:type="dxa" w:w="80"/>
              <w:left w:type="dxa" w:w="110"/>
              <w:bottom w:type="dxa" w:w="80"/>
              <w:right w:type="dxa" w:w="110"/>
            </w:tcMar>
          </w:tcPr>
          <w:p>
            <w:pPr>
              <w:spacing w:after="0" w:line="260"/>
            </w:pPr>
            <w:r>
              <w:rPr>
                <w:b/>
                <w:bCs/>
                <w:sz w:val="19"/>
                <w:szCs w:val="19"/>
              </w:rPr>
              <w:t xml:space="preserve">Service</w:t>
            </w:r>
          </w:p>
        </w:tc>
        <w:tc>
          <w:tcPr>
            <w:tcW w:type="dxa" w:w="7260"/>
            <w:shd w:fill="E7ECE6" w:val="clear"/>
            <w:tcMar>
              <w:top w:type="dxa" w:w="80"/>
              <w:left w:type="dxa" w:w="110"/>
              <w:bottom w:type="dxa" w:w="80"/>
              <w:right w:type="dxa" w:w="110"/>
            </w:tcMar>
          </w:tcPr>
          <w:p>
            <w:pPr>
              <w:spacing w:after="0" w:line="260"/>
            </w:pPr>
            <w:r>
              <w:rPr>
                <w:b/>
                <w:bCs/>
                <w:sz w:val="19"/>
                <w:szCs w:val="19"/>
              </w:rPr>
              <w:t xml:space="preserve">What it already provides</w:t>
            </w:r>
          </w:p>
        </w:tc>
      </w:tr>
      <w:tr>
        <w:tc>
          <w:tcPr>
            <w:tcW w:type="dxa" w:w="2100"/>
            <w:tcMar>
              <w:top w:type="dxa" w:w="80"/>
              <w:left w:type="dxa" w:w="110"/>
              <w:bottom w:type="dxa" w:w="80"/>
              <w:right w:type="dxa" w:w="110"/>
            </w:tcMar>
          </w:tcPr>
          <w:p>
            <w:pPr>
              <w:spacing w:after="0" w:line="260"/>
            </w:pPr>
            <w:r>
              <w:rPr>
                <w:b w:val="false"/>
                <w:bCs w:val="false"/>
                <w:sz w:val="19"/>
                <w:szCs w:val="19"/>
              </w:rPr>
              <w:t xml:space="preserve">StreamingFast</w:t>
            </w:r>
          </w:p>
        </w:tc>
        <w:tc>
          <w:tcPr>
            <w:tcW w:type="dxa" w:w="7260"/>
            <w:tcMar>
              <w:top w:type="dxa" w:w="80"/>
              <w:left w:type="dxa" w:w="110"/>
              <w:bottom w:type="dxa" w:w="80"/>
              <w:right w:type="dxa" w:w="110"/>
            </w:tcMar>
          </w:tcPr>
          <w:p>
            <w:pPr>
              <w:spacing w:after="0" w:line="260"/>
            </w:pPr>
            <w:r>
              <w:rPr>
                <w:b w:val="false"/>
                <w:bCs w:val="false"/>
                <w:sz w:val="19"/>
                <w:szCs w:val="19"/>
              </w:rPr>
              <w:t xml:space="preserve">Firehose and Substreams indexing for Stellar, integrated into The Graph; high-throughput parallelised streaming of Stellar and Soroban ledger and event data as composable pipelines.</w:t>
            </w:r>
          </w:p>
        </w:tc>
      </w:tr>
      <w:tr>
        <w:tc>
          <w:tcPr>
            <w:tcW w:type="dxa" w:w="2100"/>
            <w:tcMar>
              <w:top w:type="dxa" w:w="80"/>
              <w:left w:type="dxa" w:w="110"/>
              <w:bottom w:type="dxa" w:w="80"/>
              <w:right w:type="dxa" w:w="110"/>
            </w:tcMar>
          </w:tcPr>
          <w:p>
            <w:pPr>
              <w:spacing w:after="0" w:line="260"/>
            </w:pPr>
            <w:r>
              <w:rPr>
                <w:b w:val="false"/>
                <w:bCs w:val="false"/>
                <w:sz w:val="19"/>
                <w:szCs w:val="19"/>
              </w:rPr>
              <w:t xml:space="preserve">Obsrvr</w:t>
            </w:r>
          </w:p>
        </w:tc>
        <w:tc>
          <w:tcPr>
            <w:tcW w:type="dxa" w:w="7260"/>
            <w:tcMar>
              <w:top w:type="dxa" w:w="80"/>
              <w:left w:type="dxa" w:w="110"/>
              <w:bottom w:type="dxa" w:w="80"/>
              <w:right w:type="dxa" w:w="110"/>
            </w:tcMar>
          </w:tcPr>
          <w:p>
            <w:pPr>
              <w:spacing w:after="0" w:line="260"/>
            </w:pPr>
            <w:r>
              <w:rPr>
                <w:b w:val="false"/>
                <w:bCs w:val="false"/>
                <w:sz w:val="19"/>
                <w:szCs w:val="19"/>
              </w:rPr>
              <w:t xml:space="preserve">SCF-funded, listed on the official RPC providers page; its Flow product is explicitly programmable data pipelines for real-time event streaming and indexing.</w:t>
            </w:r>
          </w:p>
        </w:tc>
      </w:tr>
      <w:tr>
        <w:tc>
          <w:tcPr>
            <w:tcW w:type="dxa" w:w="2100"/>
            <w:tcMar>
              <w:top w:type="dxa" w:w="80"/>
              <w:left w:type="dxa" w:w="110"/>
              <w:bottom w:type="dxa" w:w="80"/>
              <w:right w:type="dxa" w:w="110"/>
            </w:tcMar>
          </w:tcPr>
          <w:p>
            <w:pPr>
              <w:spacing w:after="0" w:line="260"/>
            </w:pPr>
            <w:r>
              <w:rPr>
                <w:b w:val="false"/>
                <w:bCs w:val="false"/>
                <w:sz w:val="19"/>
                <w:szCs w:val="19"/>
              </w:rPr>
              <w:t xml:space="preserve">Mercury</w:t>
            </w:r>
          </w:p>
        </w:tc>
        <w:tc>
          <w:tcPr>
            <w:tcW w:type="dxa" w:w="7260"/>
            <w:tcMar>
              <w:top w:type="dxa" w:w="80"/>
              <w:left w:type="dxa" w:w="110"/>
              <w:bottom w:type="dxa" w:w="80"/>
              <w:right w:type="dxa" w:w="110"/>
            </w:tcMar>
          </w:tcPr>
          <w:p>
            <w:pPr>
              <w:spacing w:after="0" w:line="260"/>
            </w:pPr>
            <w:r>
              <w:rPr>
                <w:b w:val="false"/>
                <w:bCs w:val="false"/>
                <w:sz w:val="19"/>
                <w:szCs w:val="19"/>
              </w:rPr>
              <w:t xml:space="preserve">Indexing service specialised in both Soroban and Stellar classic, plus a cloud service for network-synced programs.</w:t>
            </w:r>
          </w:p>
        </w:tc>
      </w:tr>
      <w:tr>
        <w:tc>
          <w:tcPr>
            <w:tcW w:type="dxa" w:w="2100"/>
            <w:tcMar>
              <w:top w:type="dxa" w:w="80"/>
              <w:left w:type="dxa" w:w="110"/>
              <w:bottom w:type="dxa" w:w="80"/>
              <w:right w:type="dxa" w:w="110"/>
            </w:tcMar>
          </w:tcPr>
          <w:p>
            <w:pPr>
              <w:spacing w:after="0" w:line="260"/>
            </w:pPr>
            <w:r>
              <w:rPr>
                <w:b w:val="false"/>
                <w:bCs w:val="false"/>
                <w:sz w:val="19"/>
                <w:szCs w:val="19"/>
              </w:rPr>
              <w:t xml:space="preserve">Decentrio</w:t>
            </w:r>
          </w:p>
        </w:tc>
        <w:tc>
          <w:tcPr>
            <w:tcW w:type="dxa" w:w="7260"/>
            <w:tcMar>
              <w:top w:type="dxa" w:w="80"/>
              <w:left w:type="dxa" w:w="110"/>
              <w:bottom w:type="dxa" w:w="80"/>
              <w:right w:type="dxa" w:w="110"/>
            </w:tcMar>
          </w:tcPr>
          <w:p>
            <w:pPr>
              <w:spacing w:after="0" w:line="260"/>
            </w:pPr>
            <w:r>
              <w:rPr>
                <w:b w:val="false"/>
                <w:bCs w:val="false"/>
                <w:sz w:val="19"/>
                <w:szCs w:val="19"/>
              </w:rPr>
              <w:t xml:space="preserve">RPC plus high-performance transaction and event indexing for Soroban applications.</w:t>
            </w:r>
          </w:p>
        </w:tc>
      </w:tr>
      <w:tr>
        <w:tc>
          <w:tcPr>
            <w:tcW w:type="dxa" w:w="2100"/>
            <w:tcMar>
              <w:top w:type="dxa" w:w="80"/>
              <w:left w:type="dxa" w:w="110"/>
              <w:bottom w:type="dxa" w:w="80"/>
              <w:right w:type="dxa" w:w="110"/>
            </w:tcMar>
          </w:tcPr>
          <w:p>
            <w:pPr>
              <w:spacing w:after="0" w:line="260"/>
            </w:pPr>
            <w:r>
              <w:rPr>
                <w:b w:val="false"/>
                <w:bCs w:val="false"/>
                <w:sz w:val="19"/>
                <w:szCs w:val="19"/>
              </w:rPr>
              <w:t xml:space="preserve">Space and Time, ZettaBlock, Alchemy, BlockEden</w:t>
            </w:r>
          </w:p>
        </w:tc>
        <w:tc>
          <w:tcPr>
            <w:tcW w:type="dxa" w:w="7260"/>
            <w:tcMar>
              <w:top w:type="dxa" w:w="80"/>
              <w:left w:type="dxa" w:w="110"/>
              <w:bottom w:type="dxa" w:w="80"/>
              <w:right w:type="dxa" w:w="110"/>
            </w:tcMar>
          </w:tcPr>
          <w:p>
            <w:pPr>
              <w:spacing w:after="0" w:line="260"/>
            </w:pPr>
            <w:r>
              <w:rPr>
                <w:b w:val="false"/>
                <w:bCs w:val="false"/>
                <w:sz w:val="19"/>
                <w:szCs w:val="19"/>
              </w:rPr>
              <w:t xml:space="preserve">Indexed real-time and historical Soroban data access, several with SDF partnership or official RPC-provider listing.</w:t>
            </w:r>
          </w:p>
        </w:tc>
      </w:tr>
      <w:tr>
        <w:tc>
          <w:tcPr>
            <w:tcW w:type="dxa" w:w="2100"/>
            <w:tcMar>
              <w:top w:type="dxa" w:w="80"/>
              <w:left w:type="dxa" w:w="110"/>
              <w:bottom w:type="dxa" w:w="80"/>
              <w:right w:type="dxa" w:w="110"/>
            </w:tcMar>
          </w:tcPr>
          <w:p>
            <w:pPr>
              <w:spacing w:after="0" w:line="260"/>
            </w:pPr>
            <w:r>
              <w:rPr>
                <w:b w:val="false"/>
                <w:bCs w:val="false"/>
                <w:sz w:val="19"/>
                <w:szCs w:val="19"/>
              </w:rPr>
              <w:t xml:space="preserve">Galexie and the Ingest SDK</w:t>
            </w:r>
          </w:p>
        </w:tc>
        <w:tc>
          <w:tcPr>
            <w:tcW w:type="dxa" w:w="7260"/>
            <w:tcMar>
              <w:top w:type="dxa" w:w="80"/>
              <w:left w:type="dxa" w:w="110"/>
              <w:bottom w:type="dxa" w:w="80"/>
              <w:right w:type="dxa" w:w="110"/>
            </w:tcMar>
          </w:tcPr>
          <w:p>
            <w:pPr>
              <w:spacing w:after="0" w:line="260"/>
            </w:pPr>
            <w:r>
              <w:rPr>
                <w:b w:val="false"/>
                <w:bCs w:val="false"/>
                <w:sz w:val="19"/>
                <w:szCs w:val="19"/>
              </w:rPr>
              <w:t xml:space="preserve">SDF's own first-party toolkit for building custom indexers, including a buffered storage backend for real-time streaming of new ledgers.</w:t>
            </w:r>
          </w:p>
        </w:tc>
      </w:tr>
    </w:tbl>
    <w:p>
      <w:pPr>
        <w:spacing w:after="140"/>
      </w:pPr>
      <w:r>
        <w:t xml:space="preserve"/>
      </w:r>
    </w:p>
    <w:p>
      <w:pPr>
        <w:spacing w:after="120" w:line="276"/>
      </w:pPr>
      <w:r>
        <w:rPr>
          <w:sz w:val="22"/>
          <w:szCs w:val="22"/>
        </w:rPr>
        <w:t xml:space="preserve">Entering that category would have meant competing against SCF-funded incumbents and SDF's own first-party tooling, with no differentiated wedge. The prior-art review also identified an adjacent problem that is both unserved and explicitly solicited for funding. Clara addresses that problem instead. The engineering discipline, document structure, and operating standards established in the original set are retained; the product they describe is not.</w:t>
      </w:r>
    </w:p>
    <w:p>
      <w:pPr>
        <w:pStyle w:val="Heading1"/>
        <w:spacing w:after="140" w:before="280"/>
      </w:pPr>
      <w:r>
        <w:rPr>
          <w:b/>
          <w:bCs/>
          <w:sz w:val="26"/>
          <w:szCs w:val="26"/>
        </w:rPr>
        <w:t xml:space="preserve">3. Problem Statement</w:t>
      </w:r>
    </w:p>
    <w:p>
      <w:pPr>
        <w:spacing w:after="120" w:line="276"/>
      </w:pPr>
      <w:r>
        <w:rPr>
          <w:sz w:val="22"/>
          <w:szCs w:val="22"/>
        </w:rPr>
        <w:t xml:space="preserve">x402 is an open protocol, originating from the Coinbase Developer Platform, that turns the dormant HTTP 402 Payment Required status code into a working payment handshake: a server demands payment for a resource, a client pays, and the resource unlocks, with no account, API key, or subscription established in advance. It is designed for autonomous software agents rather than human checkout flows.</w:t>
      </w:r>
    </w:p>
    <w:p>
      <w:pPr>
        <w:spacing w:after="120" w:line="276"/>
      </w:pPr>
      <w:r>
        <w:rPr>
          <w:sz w:val="22"/>
          <w:szCs w:val="22"/>
        </w:rPr>
        <w:t xml:space="preserve">x402 settlement on Stellar already works. The @x402/stellar package implements the Stellar scheme, and two facilitators verify and settle payments in production today. Stellar is a strong settlement venue for this specifically because a single settlement costs approximately 0.0023 XLM, which is the difference between per-request agent micropayments being viable and being a novelty.</w:t>
      </w:r>
    </w:p>
    <w:p>
      <w:pPr>
        <w:spacing w:after="120" w:line="276"/>
      </w:pPr>
      <w:r>
        <w:rPr>
          <w:sz w:val="22"/>
          <w:szCs w:val="22"/>
        </w:rPr>
        <w:t xml:space="preserve">What does not exist is discovery. An agent has no way to find, price, and pay for an x402-protected Stellar service unless a human has already wired that integration by hand. A Stellar-denominated service is only as discoverable as whichever multi-chain facilitator happens to carry it. The payment rail is built; the directory that would let agents actually use it is not.</w:t>
      </w:r>
    </w:p>
    <w:p>
      <w:pPr>
        <w:pStyle w:val="Heading1"/>
        <w:spacing w:after="140" w:before="280"/>
      </w:pPr>
      <w:r>
        <w:rPr>
          <w:b/>
          <w:bCs/>
          <w:sz w:val="26"/>
          <w:szCs w:val="26"/>
        </w:rPr>
        <w:t xml:space="preserve">4. Existing Alternatives Reviewed</w:t>
      </w:r>
    </w:p>
    <w:tbl>
      <w:tblPr>
        <w:tblW w:type="dxa" w:w="9360"/>
        <w:tblBorders>
          <w:top w:val="single" w:color="BFC9C3" w:sz="4"/>
          <w:left w:val="single" w:color="BFC9C3" w:sz="4"/>
          <w:bottom w:val="single" w:color="BFC9C3" w:sz="4"/>
          <w:right w:val="single" w:color="BFC9C3" w:sz="4"/>
          <w:insideH w:val="single" w:color="D7DED9" w:sz="4"/>
          <w:insideV w:val="single" w:color="D7DED9" w:sz="4"/>
        </w:tblBorders>
      </w:tblPr>
      <w:tblGrid>
        <w:gridCol w:w="1900"/>
        <w:gridCol w:w="1750"/>
        <w:gridCol w:w="2700"/>
        <w:gridCol w:w="3010"/>
      </w:tblGrid>
      <w:tr>
        <w:trPr>
          <w:tblHeader/>
        </w:trPr>
        <w:tc>
          <w:tcPr>
            <w:tcW w:type="dxa" w:w="1900"/>
            <w:shd w:fill="E7ECE6" w:val="clear"/>
            <w:tcMar>
              <w:top w:type="dxa" w:w="80"/>
              <w:left w:type="dxa" w:w="110"/>
              <w:bottom w:type="dxa" w:w="80"/>
              <w:right w:type="dxa" w:w="110"/>
            </w:tcMar>
          </w:tcPr>
          <w:p>
            <w:pPr>
              <w:spacing w:after="0" w:line="260"/>
            </w:pPr>
            <w:r>
              <w:rPr>
                <w:b/>
                <w:bCs/>
                <w:sz w:val="19"/>
                <w:szCs w:val="19"/>
              </w:rPr>
              <w:t xml:space="preserve">Service</w:t>
            </w:r>
          </w:p>
        </w:tc>
        <w:tc>
          <w:tcPr>
            <w:tcW w:type="dxa" w:w="1750"/>
            <w:shd w:fill="E7ECE6" w:val="clear"/>
            <w:tcMar>
              <w:top w:type="dxa" w:w="80"/>
              <w:left w:type="dxa" w:w="110"/>
              <w:bottom w:type="dxa" w:w="80"/>
              <w:right w:type="dxa" w:w="110"/>
            </w:tcMar>
          </w:tcPr>
          <w:p>
            <w:pPr>
              <w:spacing w:after="0" w:line="260"/>
            </w:pPr>
            <w:r>
              <w:rPr>
                <w:b/>
                <w:bCs/>
                <w:sz w:val="19"/>
                <w:szCs w:val="19"/>
              </w:rPr>
              <w:t xml:space="preserve">Provider</w:t>
            </w:r>
          </w:p>
        </w:tc>
        <w:tc>
          <w:tcPr>
            <w:tcW w:type="dxa" w:w="2700"/>
            <w:shd w:fill="E7ECE6" w:val="clear"/>
            <w:tcMar>
              <w:top w:type="dxa" w:w="80"/>
              <w:left w:type="dxa" w:w="110"/>
              <w:bottom w:type="dxa" w:w="80"/>
              <w:right w:type="dxa" w:w="110"/>
            </w:tcMar>
          </w:tcPr>
          <w:p>
            <w:pPr>
              <w:spacing w:after="0" w:line="260"/>
            </w:pPr>
            <w:r>
              <w:rPr>
                <w:b/>
                <w:bCs/>
                <w:sz w:val="19"/>
                <w:szCs w:val="19"/>
              </w:rPr>
              <w:t xml:space="preserve">Function</w:t>
            </w:r>
          </w:p>
        </w:tc>
        <w:tc>
          <w:tcPr>
            <w:tcW w:type="dxa" w:w="3010"/>
            <w:shd w:fill="E7ECE6" w:val="clear"/>
            <w:tcMar>
              <w:top w:type="dxa" w:w="80"/>
              <w:left w:type="dxa" w:w="110"/>
              <w:bottom w:type="dxa" w:w="80"/>
              <w:right w:type="dxa" w:w="110"/>
            </w:tcMar>
          </w:tcPr>
          <w:p>
            <w:pPr>
              <w:spacing w:after="0" w:line="260"/>
            </w:pPr>
            <w:r>
              <w:rPr>
                <w:b/>
                <w:bCs/>
                <w:sz w:val="19"/>
                <w:szCs w:val="19"/>
              </w:rPr>
              <w:t xml:space="preserve">Gap relative to Clara</w:t>
            </w:r>
          </w:p>
        </w:tc>
      </w:tr>
      <w:tr>
        <w:tc>
          <w:tcPr>
            <w:tcW w:type="dxa" w:w="1900"/>
            <w:tcMar>
              <w:top w:type="dxa" w:w="80"/>
              <w:left w:type="dxa" w:w="110"/>
              <w:bottom w:type="dxa" w:w="80"/>
              <w:right w:type="dxa" w:w="110"/>
            </w:tcMar>
          </w:tcPr>
          <w:p>
            <w:pPr>
              <w:spacing w:after="0" w:line="260"/>
            </w:pPr>
            <w:r>
              <w:rPr>
                <w:b w:val="false"/>
                <w:bCs w:val="false"/>
                <w:sz w:val="19"/>
                <w:szCs w:val="19"/>
              </w:rPr>
              <w:t xml:space="preserve">Coinbase x402 facilitator</w:t>
            </w:r>
          </w:p>
        </w:tc>
        <w:tc>
          <w:tcPr>
            <w:tcW w:type="dxa" w:w="1750"/>
            <w:tcMar>
              <w:top w:type="dxa" w:w="80"/>
              <w:left w:type="dxa" w:w="110"/>
              <w:bottom w:type="dxa" w:w="80"/>
              <w:right w:type="dxa" w:w="110"/>
            </w:tcMar>
          </w:tcPr>
          <w:p>
            <w:pPr>
              <w:spacing w:after="0" w:line="260"/>
            </w:pPr>
            <w:r>
              <w:rPr>
                <w:b w:val="false"/>
                <w:bCs w:val="false"/>
                <w:sz w:val="19"/>
                <w:szCs w:val="19"/>
              </w:rPr>
              <w:t xml:space="preserve">Coinbase Developer Platform</w:t>
            </w:r>
          </w:p>
        </w:tc>
        <w:tc>
          <w:tcPr>
            <w:tcW w:type="dxa" w:w="2700"/>
            <w:tcMar>
              <w:top w:type="dxa" w:w="80"/>
              <w:left w:type="dxa" w:w="110"/>
              <w:bottom w:type="dxa" w:w="80"/>
              <w:right w:type="dxa" w:w="110"/>
            </w:tcMar>
          </w:tcPr>
          <w:p>
            <w:pPr>
              <w:spacing w:after="0" w:line="260"/>
            </w:pPr>
            <w:r>
              <w:rPr>
                <w:b w:val="false"/>
                <w:bCs w:val="false"/>
                <w:sz w:val="19"/>
                <w:szCs w:val="19"/>
              </w:rPr>
              <w:t xml:space="preserve">Verifies and settles x402 payments; supports stellar:testnet with sponsored fees</w:t>
            </w:r>
          </w:p>
        </w:tc>
        <w:tc>
          <w:tcPr>
            <w:tcW w:type="dxa" w:w="3010"/>
            <w:tcMar>
              <w:top w:type="dxa" w:w="80"/>
              <w:left w:type="dxa" w:w="110"/>
              <w:bottom w:type="dxa" w:w="80"/>
              <w:right w:type="dxa" w:w="110"/>
            </w:tcMar>
          </w:tcPr>
          <w:p>
            <w:pPr>
              <w:spacing w:after="0" w:line="260"/>
            </w:pPr>
            <w:r>
              <w:rPr>
                <w:b w:val="false"/>
                <w:bCs w:val="false"/>
                <w:sz w:val="19"/>
                <w:szCs w:val="19"/>
              </w:rPr>
              <w:t xml:space="preserve">Settlement only; multi-chain, not Stellar-native; carries no Stellar discovery catalogue</w:t>
            </w:r>
          </w:p>
        </w:tc>
      </w:tr>
      <w:tr>
        <w:tc>
          <w:tcPr>
            <w:tcW w:type="dxa" w:w="1900"/>
            <w:tcMar>
              <w:top w:type="dxa" w:w="80"/>
              <w:left w:type="dxa" w:w="110"/>
              <w:bottom w:type="dxa" w:w="80"/>
              <w:right w:type="dxa" w:w="110"/>
            </w:tcMar>
          </w:tcPr>
          <w:p>
            <w:pPr>
              <w:spacing w:after="0" w:line="260"/>
            </w:pPr>
            <w:r>
              <w:rPr>
                <w:b w:val="false"/>
                <w:bCs w:val="false"/>
                <w:sz w:val="19"/>
                <w:szCs w:val="19"/>
              </w:rPr>
              <w:t xml:space="preserve">Built on Stellar facilitator</w:t>
            </w:r>
          </w:p>
        </w:tc>
        <w:tc>
          <w:tcPr>
            <w:tcW w:type="dxa" w:w="1750"/>
            <w:tcMar>
              <w:top w:type="dxa" w:w="80"/>
              <w:left w:type="dxa" w:w="110"/>
              <w:bottom w:type="dxa" w:w="80"/>
              <w:right w:type="dxa" w:w="110"/>
            </w:tcMar>
          </w:tcPr>
          <w:p>
            <w:pPr>
              <w:spacing w:after="0" w:line="260"/>
            </w:pPr>
            <w:r>
              <w:rPr>
                <w:b w:val="false"/>
                <w:bCs w:val="false"/>
                <w:sz w:val="19"/>
                <w:szCs w:val="19"/>
              </w:rPr>
              <w:t xml:space="preserve">OpenZeppelin Relayer plus x402 Facilitator Plugin</w:t>
            </w:r>
          </w:p>
        </w:tc>
        <w:tc>
          <w:tcPr>
            <w:tcW w:type="dxa" w:w="2700"/>
            <w:tcMar>
              <w:top w:type="dxa" w:w="80"/>
              <w:left w:type="dxa" w:w="110"/>
              <w:bottom w:type="dxa" w:w="80"/>
              <w:right w:type="dxa" w:w="110"/>
            </w:tcMar>
          </w:tcPr>
          <w:p>
            <w:pPr>
              <w:spacing w:after="0" w:line="260"/>
            </w:pPr>
            <w:r>
              <w:rPr>
                <w:b w:val="false"/>
                <w:bCs w:val="false"/>
                <w:sz w:val="19"/>
                <w:szCs w:val="19"/>
              </w:rPr>
              <w:t xml:space="preserve">Production verify, settle, and supported endpoints on testnet and mainnet</w:t>
            </w:r>
          </w:p>
        </w:tc>
        <w:tc>
          <w:tcPr>
            <w:tcW w:type="dxa" w:w="3010"/>
            <w:tcMar>
              <w:top w:type="dxa" w:w="80"/>
              <w:left w:type="dxa" w:w="110"/>
              <w:bottom w:type="dxa" w:w="80"/>
              <w:right w:type="dxa" w:w="110"/>
            </w:tcMar>
          </w:tcPr>
          <w:p>
            <w:pPr>
              <w:spacing w:after="0" w:line="260"/>
            </w:pPr>
            <w:r>
              <w:rPr>
                <w:b w:val="false"/>
                <w:bCs w:val="false"/>
                <w:sz w:val="19"/>
                <w:szCs w:val="19"/>
              </w:rPr>
              <w:t xml:space="preserve">Settlement only, no discovery layer; its plugin is AGPL-licensed, which disqualifies it as a base for this grant</w:t>
            </w:r>
          </w:p>
        </w:tc>
      </w:tr>
      <w:tr>
        <w:tc>
          <w:tcPr>
            <w:tcW w:type="dxa" w:w="1900"/>
            <w:tcMar>
              <w:top w:type="dxa" w:w="80"/>
              <w:left w:type="dxa" w:w="110"/>
              <w:bottom w:type="dxa" w:w="80"/>
              <w:right w:type="dxa" w:w="110"/>
            </w:tcMar>
          </w:tcPr>
          <w:p>
            <w:pPr>
              <w:spacing w:after="0" w:line="260"/>
            </w:pPr>
            <w:r>
              <w:rPr>
                <w:b w:val="false"/>
                <w:bCs w:val="false"/>
                <w:sz w:val="19"/>
                <w:szCs w:val="19"/>
              </w:rPr>
              <w:t xml:space="preserve">@x402/stellar</w:t>
            </w:r>
          </w:p>
        </w:tc>
        <w:tc>
          <w:tcPr>
            <w:tcW w:type="dxa" w:w="1750"/>
            <w:tcMar>
              <w:top w:type="dxa" w:w="80"/>
              <w:left w:type="dxa" w:w="110"/>
              <w:bottom w:type="dxa" w:w="80"/>
              <w:right w:type="dxa" w:w="110"/>
            </w:tcMar>
          </w:tcPr>
          <w:p>
            <w:pPr>
              <w:spacing w:after="0" w:line="260"/>
            </w:pPr>
            <w:r>
              <w:rPr>
                <w:b w:val="false"/>
                <w:bCs w:val="false"/>
                <w:sz w:val="19"/>
                <w:szCs w:val="19"/>
              </w:rPr>
              <w:t xml:space="preserve">Stellar Development Foundation</w:t>
            </w:r>
          </w:p>
        </w:tc>
        <w:tc>
          <w:tcPr>
            <w:tcW w:type="dxa" w:w="2700"/>
            <w:tcMar>
              <w:top w:type="dxa" w:w="80"/>
              <w:left w:type="dxa" w:w="110"/>
              <w:bottom w:type="dxa" w:w="80"/>
              <w:right w:type="dxa" w:w="110"/>
            </w:tcMar>
          </w:tcPr>
          <w:p>
            <w:pPr>
              <w:spacing w:after="0" w:line="260"/>
            </w:pPr>
            <w:r>
              <w:rPr>
                <w:b w:val="false"/>
                <w:bCs w:val="false"/>
                <w:sz w:val="19"/>
                <w:szCs w:val="19"/>
              </w:rPr>
              <w:t xml:space="preserve">Apache-2.0 package implementing the Stellar exact scheme, signer, and network helpers</w:t>
            </w:r>
          </w:p>
        </w:tc>
        <w:tc>
          <w:tcPr>
            <w:tcW w:type="dxa" w:w="3010"/>
            <w:tcMar>
              <w:top w:type="dxa" w:w="80"/>
              <w:left w:type="dxa" w:w="110"/>
              <w:bottom w:type="dxa" w:w="80"/>
              <w:right w:type="dxa" w:w="110"/>
            </w:tcMar>
          </w:tcPr>
          <w:p>
            <w:pPr>
              <w:spacing w:after="0" w:line="260"/>
            </w:pPr>
            <w:r>
              <w:rPr>
                <w:b w:val="false"/>
                <w:bCs w:val="false"/>
                <w:sz w:val="19"/>
                <w:szCs w:val="19"/>
              </w:rPr>
              <w:t xml:space="preserve">A library, not a service; Clara builds on it rather than competing with it</w:t>
            </w:r>
          </w:p>
        </w:tc>
      </w:tr>
      <w:tr>
        <w:tc>
          <w:tcPr>
            <w:tcW w:type="dxa" w:w="1900"/>
            <w:tcMar>
              <w:top w:type="dxa" w:w="80"/>
              <w:left w:type="dxa" w:w="110"/>
              <w:bottom w:type="dxa" w:w="80"/>
              <w:right w:type="dxa" w:w="110"/>
            </w:tcMar>
          </w:tcPr>
          <w:p>
            <w:pPr>
              <w:spacing w:after="0" w:line="260"/>
            </w:pPr>
            <w:r>
              <w:rPr>
                <w:b w:val="false"/>
                <w:bCs w:val="false"/>
                <w:sz w:val="19"/>
                <w:szCs w:val="19"/>
              </w:rPr>
              <w:t xml:space="preserve">Multi-chain x402 bazaars</w:t>
            </w:r>
          </w:p>
        </w:tc>
        <w:tc>
          <w:tcPr>
            <w:tcW w:type="dxa" w:w="1750"/>
            <w:tcMar>
              <w:top w:type="dxa" w:w="80"/>
              <w:left w:type="dxa" w:w="110"/>
              <w:bottom w:type="dxa" w:w="80"/>
              <w:right w:type="dxa" w:w="110"/>
            </w:tcMar>
          </w:tcPr>
          <w:p>
            <w:pPr>
              <w:spacing w:after="0" w:line="260"/>
            </w:pPr>
            <w:r>
              <w:rPr>
                <w:b w:val="false"/>
                <w:bCs w:val="false"/>
                <w:sz w:val="19"/>
                <w:szCs w:val="19"/>
              </w:rPr>
              <w:t xml:space="preserve">Various</w:t>
            </w:r>
          </w:p>
        </w:tc>
        <w:tc>
          <w:tcPr>
            <w:tcW w:type="dxa" w:w="2700"/>
            <w:tcMar>
              <w:top w:type="dxa" w:w="80"/>
              <w:left w:type="dxa" w:w="110"/>
              <w:bottom w:type="dxa" w:w="80"/>
              <w:right w:type="dxa" w:w="110"/>
            </w:tcMar>
          </w:tcPr>
          <w:p>
            <w:pPr>
              <w:spacing w:after="0" w:line="260"/>
            </w:pPr>
            <w:r>
              <w:rPr>
                <w:b w:val="false"/>
                <w:bCs w:val="false"/>
                <w:sz w:val="19"/>
                <w:szCs w:val="19"/>
              </w:rPr>
              <w:t xml:space="preserve">Discovery catalogues carrying services across several chains</w:t>
            </w:r>
          </w:p>
        </w:tc>
        <w:tc>
          <w:tcPr>
            <w:tcW w:type="dxa" w:w="3010"/>
            <w:tcMar>
              <w:top w:type="dxa" w:w="80"/>
              <w:left w:type="dxa" w:w="110"/>
              <w:bottom w:type="dxa" w:w="80"/>
              <w:right w:type="dxa" w:w="110"/>
            </w:tcMar>
          </w:tcPr>
          <w:p>
            <w:pPr>
              <w:spacing w:after="0" w:line="260"/>
            </w:pPr>
            <w:r>
              <w:rPr>
                <w:b w:val="false"/>
                <w:bCs w:val="false"/>
                <w:sz w:val="19"/>
                <w:szCs w:val="19"/>
              </w:rPr>
              <w:t xml:space="preserve">Stellar-denominated services appear only incidentally; no Stellar-native cataloguing, ranking, or integrity enforcement</w:t>
            </w:r>
          </w:p>
        </w:tc>
      </w:tr>
    </w:tbl>
    <w:p>
      <w:pPr>
        <w:pStyle w:val="Heading1"/>
        <w:spacing w:after="140" w:before="280"/>
      </w:pPr>
      <w:r>
        <w:rPr>
          <w:b/>
          <w:bCs/>
          <w:sz w:val="26"/>
          <w:szCs w:val="26"/>
        </w:rPr>
        <w:t xml:space="preserve">5. Why This Is Fundable Now</w:t>
      </w:r>
    </w:p>
    <w:p>
      <w:pPr>
        <w:spacing w:after="120" w:line="276"/>
      </w:pPr>
      <w:r>
        <w:rPr>
          <w:sz w:val="22"/>
          <w:szCs w:val="22"/>
        </w:rPr>
        <w:t xml:space="preserve">Unlike the original StellarStream direction, this is not an inferred market gap. It is a published request for proposals on the Stellar ecosystem's own funded-idea board, under the identifier x402-facilitator-bazaar, with defined technical requirements, a named acceptance bar, and third-party audit funding included through the Audit Bank.</w:t>
      </w:r>
    </w:p>
    <w:p>
      <w:pPr>
        <w:spacing w:after="120" w:line="276"/>
      </w:pPr>
      <w:r>
        <w:rPr>
          <w:sz w:val="22"/>
          <w:szCs w:val="22"/>
        </w:rPr>
        <w:t xml:space="preserve">The request is specific: a production facilitator on both networks, plus a Stellar-native Bazaar discovery layer, with discovery named as the highest-value share of the budget. It also carries one hard constraint that shapes the entire architecture: the AGPL licence of the OpenZeppelin Relayer plugin excludes it as a dependency base, so the funded deliverable must be a clean-licence implementation rather than a wrapper around the facilitator that exists today.</w:t>
      </w:r>
    </w:p>
    <w:p>
      <w:pPr>
        <w:pStyle w:val="Heading1"/>
        <w:spacing w:after="140" w:before="280"/>
      </w:pPr>
      <w:r>
        <w:rPr>
          <w:b/>
          <w:bCs/>
          <w:sz w:val="26"/>
          <w:szCs w:val="26"/>
        </w:rPr>
        <w:t xml:space="preserve">6. Market Context</w:t>
      </w:r>
    </w:p>
    <w:p>
      <w:pPr>
        <w:spacing w:after="120" w:line="276"/>
      </w:pPr>
      <w:r>
        <w:rPr>
          <w:sz w:val="22"/>
          <w:szCs w:val="22"/>
        </w:rPr>
        <w:t xml:space="preserve">The demand signal for this category is the growth of autonomous agent tooling rather than Stellar's own DeFi value locked, which is the measure the withdrawn StellarStream case depended on. Every HTTP-addressable paid service, and every tool exposed through the Model Context Protocol, is a potential catalogue entry; every agent runtime is a potential consumer.</w:t>
      </w:r>
    </w:p>
    <w:p>
      <w:pPr>
        <w:spacing w:after="120" w:line="276"/>
      </w:pPr>
      <w:r>
        <w:rPr>
          <w:sz w:val="22"/>
          <w:szCs w:val="22"/>
        </w:rPr>
        <w:t xml:space="preserve">Stellar ecosystem developer activity supports the timing: monthly active developers stood at 3,408 as of 2 September 2026, against 1,303 a year earlier, a year-on-year increase of approximately 162 percent, per Electric Capital Open Developer Data. This is presented as a trend to monitor rather than a demand figure already proven; agent-payment volume on Stellar is early, and this case treats it as such.</w:t>
      </w:r>
    </w:p>
    <w:p>
      <w:pPr>
        <w:pStyle w:val="Heading1"/>
        <w:spacing w:after="140" w:before="280"/>
      </w:pPr>
      <w:r>
        <w:rPr>
          <w:b/>
          <w:bCs/>
          <w:sz w:val="26"/>
          <w:szCs w:val="26"/>
        </w:rPr>
        <w:t xml:space="preserve">7. Funding Path</w:t>
      </w:r>
    </w:p>
    <w:p>
      <w:pPr>
        <w:spacing w:after="120" w:line="276"/>
      </w:pPr>
      <w:r>
        <w:rPr>
          <w:sz w:val="22"/>
          <w:szCs w:val="22"/>
        </w:rPr>
        <w:t xml:space="preserve">The Stellar Community Fund Build Award offers up to USD 150,000 in XLM, disbursed in tranches, and infrastructure and tooling projects are explicitly eligible. Round 46 is in its submission phase, closing 8 November 2026.</w:t>
      </w:r>
    </w:p>
    <w:p>
      <w:pPr>
        <w:spacing w:after="140" w:line="276"/>
      </w:pPr>
      <w:r>
        <w:rPr>
          <w:sz w:val="22"/>
          <w:szCs w:val="22"/>
        </w:rPr>
        <w:t xml:space="preserve">Eight active projects in the Payments vertical hold structured SCF award records, totalling approximately USD 2.38 million. They calibrate the funding bar, and none of them build a facilitator or a discovery layer; they are remittance, card-issuing, and payment-application businesses.</w:t>
      </w:r>
    </w:p>
    <w:tbl>
      <w:tblPr>
        <w:tblW w:type="dxa" w:w="9360"/>
        <w:tblBorders>
          <w:top w:val="single" w:color="BFC9C3" w:sz="4"/>
          <w:left w:val="single" w:color="BFC9C3" w:sz="4"/>
          <w:bottom w:val="single" w:color="BFC9C3" w:sz="4"/>
          <w:right w:val="single" w:color="BFC9C3" w:sz="4"/>
          <w:insideH w:val="single" w:color="D7DED9" w:sz="4"/>
          <w:insideV w:val="single" w:color="D7DED9" w:sz="4"/>
        </w:tblBorders>
      </w:tblPr>
      <w:tblGrid>
        <w:gridCol w:w="4200"/>
        <w:gridCol w:w="2800"/>
        <w:gridCol w:w="2360"/>
      </w:tblGrid>
      <w:tr>
        <w:trPr>
          <w:tblHeader/>
        </w:trPr>
        <w:tc>
          <w:tcPr>
            <w:tcW w:type="dxa" w:w="4200"/>
            <w:shd w:fill="E7ECE6" w:val="clear"/>
            <w:tcMar>
              <w:top w:type="dxa" w:w="80"/>
              <w:left w:type="dxa" w:w="110"/>
              <w:bottom w:type="dxa" w:w="80"/>
              <w:right w:type="dxa" w:w="110"/>
            </w:tcMar>
          </w:tcPr>
          <w:p>
            <w:pPr>
              <w:spacing w:after="0" w:line="260"/>
            </w:pPr>
            <w:r>
              <w:rPr>
                <w:b/>
                <w:bCs/>
                <w:sz w:val="19"/>
                <w:szCs w:val="19"/>
              </w:rPr>
              <w:t xml:space="preserve">Project</w:t>
            </w:r>
          </w:p>
        </w:tc>
        <w:tc>
          <w:tcPr>
            <w:tcW w:type="dxa" w:w="2800"/>
            <w:shd w:fill="E7ECE6" w:val="clear"/>
            <w:tcMar>
              <w:top w:type="dxa" w:w="80"/>
              <w:left w:type="dxa" w:w="110"/>
              <w:bottom w:type="dxa" w:w="80"/>
              <w:right w:type="dxa" w:w="110"/>
            </w:tcMar>
          </w:tcPr>
          <w:p>
            <w:pPr>
              <w:spacing w:after="0" w:line="260"/>
            </w:pPr>
            <w:r>
              <w:rPr>
                <w:b/>
                <w:bCs/>
                <w:sz w:val="19"/>
                <w:szCs w:val="19"/>
              </w:rPr>
              <w:t xml:space="preserve">Total awarded (USD)</w:t>
            </w:r>
          </w:p>
        </w:tc>
        <w:tc>
          <w:tcPr>
            <w:tcW w:type="dxa" w:w="2360"/>
            <w:shd w:fill="E7ECE6" w:val="clear"/>
            <w:tcMar>
              <w:top w:type="dxa" w:w="80"/>
              <w:left w:type="dxa" w:w="110"/>
              <w:bottom w:type="dxa" w:w="80"/>
              <w:right w:type="dxa" w:w="110"/>
            </w:tcMar>
          </w:tcPr>
          <w:p>
            <w:pPr>
              <w:spacing w:after="0" w:line="260"/>
            </w:pPr>
            <w:r>
              <w:rPr>
                <w:b/>
                <w:bCs/>
                <w:sz w:val="19"/>
                <w:szCs w:val="19"/>
              </w:rPr>
              <w:t xml:space="preserve">Last awarded round</w:t>
            </w:r>
          </w:p>
        </w:tc>
      </w:tr>
      <w:tr>
        <w:tc>
          <w:tcPr>
            <w:tcW w:type="dxa" w:w="4200"/>
            <w:tcMar>
              <w:top w:type="dxa" w:w="80"/>
              <w:left w:type="dxa" w:w="110"/>
              <w:bottom w:type="dxa" w:w="80"/>
              <w:right w:type="dxa" w:w="110"/>
            </w:tcMar>
          </w:tcPr>
          <w:p>
            <w:pPr>
              <w:spacing w:after="0" w:line="260"/>
            </w:pPr>
            <w:r>
              <w:rPr>
                <w:b w:val="false"/>
                <w:bCs w:val="false"/>
                <w:sz w:val="19"/>
                <w:szCs w:val="19"/>
              </w:rPr>
              <w:t xml:space="preserve">Beans</w:t>
            </w:r>
          </w:p>
        </w:tc>
        <w:tc>
          <w:tcPr>
            <w:tcW w:type="dxa" w:w="2800"/>
            <w:tcMar>
              <w:top w:type="dxa" w:w="80"/>
              <w:left w:type="dxa" w:w="110"/>
              <w:bottom w:type="dxa" w:w="80"/>
              <w:right w:type="dxa" w:w="110"/>
            </w:tcMar>
          </w:tcPr>
          <w:p>
            <w:pPr>
              <w:spacing w:after="0" w:line="260"/>
            </w:pPr>
            <w:r>
              <w:rPr>
                <w:b w:val="false"/>
                <w:bCs w:val="false"/>
                <w:sz w:val="19"/>
                <w:szCs w:val="19"/>
              </w:rPr>
              <w:t xml:space="preserve">490,160</w:t>
            </w:r>
          </w:p>
        </w:tc>
        <w:tc>
          <w:tcPr>
            <w:tcW w:type="dxa" w:w="2360"/>
            <w:tcMar>
              <w:top w:type="dxa" w:w="80"/>
              <w:left w:type="dxa" w:w="110"/>
              <w:bottom w:type="dxa" w:w="80"/>
              <w:right w:type="dxa" w:w="110"/>
            </w:tcMar>
          </w:tcPr>
          <w:p>
            <w:pPr>
              <w:spacing w:after="0" w:line="260"/>
            </w:pPr>
            <w:r>
              <w:rPr>
                <w:b w:val="false"/>
                <w:bCs w:val="false"/>
                <w:sz w:val="19"/>
                <w:szCs w:val="19"/>
              </w:rPr>
              <w:t xml:space="preserve">29</w:t>
            </w:r>
          </w:p>
        </w:tc>
      </w:tr>
      <w:tr>
        <w:tc>
          <w:tcPr>
            <w:tcW w:type="dxa" w:w="4200"/>
            <w:tcMar>
              <w:top w:type="dxa" w:w="80"/>
              <w:left w:type="dxa" w:w="110"/>
              <w:bottom w:type="dxa" w:w="80"/>
              <w:right w:type="dxa" w:w="110"/>
            </w:tcMar>
          </w:tcPr>
          <w:p>
            <w:pPr>
              <w:spacing w:after="0" w:line="260"/>
            </w:pPr>
            <w:r>
              <w:rPr>
                <w:b w:val="false"/>
                <w:bCs w:val="false"/>
                <w:sz w:val="19"/>
                <w:szCs w:val="19"/>
              </w:rPr>
              <w:t xml:space="preserve">Alfred</w:t>
            </w:r>
          </w:p>
        </w:tc>
        <w:tc>
          <w:tcPr>
            <w:tcW w:type="dxa" w:w="2800"/>
            <w:tcMar>
              <w:top w:type="dxa" w:w="80"/>
              <w:left w:type="dxa" w:w="110"/>
              <w:bottom w:type="dxa" w:w="80"/>
              <w:right w:type="dxa" w:w="110"/>
            </w:tcMar>
          </w:tcPr>
          <w:p>
            <w:pPr>
              <w:spacing w:after="0" w:line="260"/>
            </w:pPr>
            <w:r>
              <w:rPr>
                <w:b w:val="false"/>
                <w:bCs w:val="false"/>
                <w:sz w:val="19"/>
                <w:szCs w:val="19"/>
              </w:rPr>
              <w:t xml:space="preserve">335,000</w:t>
            </w:r>
          </w:p>
        </w:tc>
        <w:tc>
          <w:tcPr>
            <w:tcW w:type="dxa" w:w="2360"/>
            <w:tcMar>
              <w:top w:type="dxa" w:w="80"/>
              <w:left w:type="dxa" w:w="110"/>
              <w:bottom w:type="dxa" w:w="80"/>
              <w:right w:type="dxa" w:w="110"/>
            </w:tcMar>
          </w:tcPr>
          <w:p>
            <w:pPr>
              <w:spacing w:after="0" w:line="260"/>
            </w:pPr>
            <w:r>
              <w:rPr>
                <w:b w:val="false"/>
                <w:bCs w:val="false"/>
                <w:sz w:val="19"/>
                <w:szCs w:val="19"/>
              </w:rPr>
              <w:t xml:space="preserve">19</w:t>
            </w:r>
          </w:p>
        </w:tc>
      </w:tr>
      <w:tr>
        <w:tc>
          <w:tcPr>
            <w:tcW w:type="dxa" w:w="4200"/>
            <w:tcMar>
              <w:top w:type="dxa" w:w="80"/>
              <w:left w:type="dxa" w:w="110"/>
              <w:bottom w:type="dxa" w:w="80"/>
              <w:right w:type="dxa" w:w="110"/>
            </w:tcMar>
          </w:tcPr>
          <w:p>
            <w:pPr>
              <w:spacing w:after="0" w:line="260"/>
            </w:pPr>
            <w:r>
              <w:rPr>
                <w:b w:val="false"/>
                <w:bCs w:val="false"/>
                <w:sz w:val="19"/>
                <w:szCs w:val="19"/>
              </w:rPr>
              <w:t xml:space="preserve">Seevcash</w:t>
            </w:r>
          </w:p>
        </w:tc>
        <w:tc>
          <w:tcPr>
            <w:tcW w:type="dxa" w:w="2800"/>
            <w:tcMar>
              <w:top w:type="dxa" w:w="80"/>
              <w:left w:type="dxa" w:w="110"/>
              <w:bottom w:type="dxa" w:w="80"/>
              <w:right w:type="dxa" w:w="110"/>
            </w:tcMar>
          </w:tcPr>
          <w:p>
            <w:pPr>
              <w:spacing w:after="0" w:line="260"/>
            </w:pPr>
            <w:r>
              <w:rPr>
                <w:b w:val="false"/>
                <w:bCs w:val="false"/>
                <w:sz w:val="19"/>
                <w:szCs w:val="19"/>
              </w:rPr>
              <w:t xml:space="preserve">291,659</w:t>
            </w:r>
          </w:p>
        </w:tc>
        <w:tc>
          <w:tcPr>
            <w:tcW w:type="dxa" w:w="2360"/>
            <w:tcMar>
              <w:top w:type="dxa" w:w="80"/>
              <w:left w:type="dxa" w:w="110"/>
              <w:bottom w:type="dxa" w:w="80"/>
              <w:right w:type="dxa" w:w="110"/>
            </w:tcMar>
          </w:tcPr>
          <w:p>
            <w:pPr>
              <w:spacing w:after="0" w:line="260"/>
            </w:pPr>
            <w:r>
              <w:rPr>
                <w:b w:val="false"/>
                <w:bCs w:val="false"/>
                <w:sz w:val="19"/>
                <w:szCs w:val="19"/>
              </w:rPr>
              <w:t xml:space="preserve">43</w:t>
            </w:r>
          </w:p>
        </w:tc>
      </w:tr>
      <w:tr>
        <w:tc>
          <w:tcPr>
            <w:tcW w:type="dxa" w:w="4200"/>
            <w:tcMar>
              <w:top w:type="dxa" w:w="80"/>
              <w:left w:type="dxa" w:w="110"/>
              <w:bottom w:type="dxa" w:w="80"/>
              <w:right w:type="dxa" w:w="110"/>
            </w:tcMar>
          </w:tcPr>
          <w:p>
            <w:pPr>
              <w:spacing w:after="0" w:line="260"/>
            </w:pPr>
            <w:r>
              <w:rPr>
                <w:b w:val="false"/>
                <w:bCs w:val="false"/>
                <w:sz w:val="19"/>
                <w:szCs w:val="19"/>
              </w:rPr>
              <w:t xml:space="preserve">LINK</w:t>
            </w:r>
          </w:p>
        </w:tc>
        <w:tc>
          <w:tcPr>
            <w:tcW w:type="dxa" w:w="2800"/>
            <w:tcMar>
              <w:top w:type="dxa" w:w="80"/>
              <w:left w:type="dxa" w:w="110"/>
              <w:bottom w:type="dxa" w:w="80"/>
              <w:right w:type="dxa" w:w="110"/>
            </w:tcMar>
          </w:tcPr>
          <w:p>
            <w:pPr>
              <w:spacing w:after="0" w:line="260"/>
            </w:pPr>
            <w:r>
              <w:rPr>
                <w:b w:val="false"/>
                <w:bCs w:val="false"/>
                <w:sz w:val="19"/>
                <w:szCs w:val="19"/>
              </w:rPr>
              <w:t xml:space="preserve">277,000</w:t>
            </w:r>
          </w:p>
        </w:tc>
        <w:tc>
          <w:tcPr>
            <w:tcW w:type="dxa" w:w="2360"/>
            <w:tcMar>
              <w:top w:type="dxa" w:w="80"/>
              <w:left w:type="dxa" w:w="110"/>
              <w:bottom w:type="dxa" w:w="80"/>
              <w:right w:type="dxa" w:w="110"/>
            </w:tcMar>
          </w:tcPr>
          <w:p>
            <w:pPr>
              <w:spacing w:after="0" w:line="260"/>
            </w:pPr>
            <w:r>
              <w:rPr>
                <w:b w:val="false"/>
                <w:bCs w:val="false"/>
                <w:sz w:val="19"/>
                <w:szCs w:val="19"/>
              </w:rPr>
              <w:t xml:space="preserve">28</w:t>
            </w:r>
          </w:p>
        </w:tc>
      </w:tr>
      <w:tr>
        <w:tc>
          <w:tcPr>
            <w:tcW w:type="dxa" w:w="4200"/>
            <w:tcMar>
              <w:top w:type="dxa" w:w="80"/>
              <w:left w:type="dxa" w:w="110"/>
              <w:bottom w:type="dxa" w:w="80"/>
              <w:right w:type="dxa" w:w="110"/>
            </w:tcMar>
          </w:tcPr>
          <w:p>
            <w:pPr>
              <w:spacing w:after="0" w:line="260"/>
            </w:pPr>
            <w:r>
              <w:rPr>
                <w:b w:val="false"/>
                <w:bCs w:val="false"/>
                <w:sz w:val="19"/>
                <w:szCs w:val="19"/>
              </w:rPr>
              <w:t xml:space="preserve">Cash Abroad</w:t>
            </w:r>
          </w:p>
        </w:tc>
        <w:tc>
          <w:tcPr>
            <w:tcW w:type="dxa" w:w="2800"/>
            <w:tcMar>
              <w:top w:type="dxa" w:w="80"/>
              <w:left w:type="dxa" w:w="110"/>
              <w:bottom w:type="dxa" w:w="80"/>
              <w:right w:type="dxa" w:w="110"/>
            </w:tcMar>
          </w:tcPr>
          <w:p>
            <w:pPr>
              <w:spacing w:after="0" w:line="260"/>
            </w:pPr>
            <w:r>
              <w:rPr>
                <w:b w:val="false"/>
                <w:bCs w:val="false"/>
                <w:sz w:val="19"/>
                <w:szCs w:val="19"/>
              </w:rPr>
              <w:t xml:space="preserve">255,025</w:t>
            </w:r>
          </w:p>
        </w:tc>
        <w:tc>
          <w:tcPr>
            <w:tcW w:type="dxa" w:w="2360"/>
            <w:tcMar>
              <w:top w:type="dxa" w:w="80"/>
              <w:left w:type="dxa" w:w="110"/>
              <w:bottom w:type="dxa" w:w="80"/>
              <w:right w:type="dxa" w:w="110"/>
            </w:tcMar>
          </w:tcPr>
          <w:p>
            <w:pPr>
              <w:spacing w:after="0" w:line="260"/>
            </w:pPr>
            <w:r>
              <w:rPr>
                <w:b w:val="false"/>
                <w:bCs w:val="false"/>
                <w:sz w:val="19"/>
                <w:szCs w:val="19"/>
              </w:rPr>
              <w:t xml:space="preserve">41</w:t>
            </w:r>
          </w:p>
        </w:tc>
      </w:tr>
      <w:tr>
        <w:tc>
          <w:tcPr>
            <w:tcW w:type="dxa" w:w="4200"/>
            <w:tcMar>
              <w:top w:type="dxa" w:w="80"/>
              <w:left w:type="dxa" w:w="110"/>
              <w:bottom w:type="dxa" w:w="80"/>
              <w:right w:type="dxa" w:w="110"/>
            </w:tcMar>
          </w:tcPr>
          <w:p>
            <w:pPr>
              <w:spacing w:after="0" w:line="260"/>
            </w:pPr>
            <w:r>
              <w:rPr>
                <w:b w:val="false"/>
                <w:bCs w:val="false"/>
                <w:sz w:val="19"/>
                <w:szCs w:val="19"/>
              </w:rPr>
              <w:t xml:space="preserve">Wellspring</w:t>
            </w:r>
          </w:p>
        </w:tc>
        <w:tc>
          <w:tcPr>
            <w:tcW w:type="dxa" w:w="2800"/>
            <w:tcMar>
              <w:top w:type="dxa" w:w="80"/>
              <w:left w:type="dxa" w:w="110"/>
              <w:bottom w:type="dxa" w:w="80"/>
              <w:right w:type="dxa" w:w="110"/>
            </w:tcMar>
          </w:tcPr>
          <w:p>
            <w:pPr>
              <w:spacing w:after="0" w:line="260"/>
            </w:pPr>
            <w:r>
              <w:rPr>
                <w:b w:val="false"/>
                <w:bCs w:val="false"/>
                <w:sz w:val="19"/>
                <w:szCs w:val="19"/>
              </w:rPr>
              <w:t xml:space="preserve">250,000</w:t>
            </w:r>
          </w:p>
        </w:tc>
        <w:tc>
          <w:tcPr>
            <w:tcW w:type="dxa" w:w="2360"/>
            <w:tcMar>
              <w:top w:type="dxa" w:w="80"/>
              <w:left w:type="dxa" w:w="110"/>
              <w:bottom w:type="dxa" w:w="80"/>
              <w:right w:type="dxa" w:w="110"/>
            </w:tcMar>
          </w:tcPr>
          <w:p>
            <w:pPr>
              <w:spacing w:after="0" w:line="260"/>
            </w:pPr>
            <w:r>
              <w:rPr>
                <w:b w:val="false"/>
                <w:bCs w:val="false"/>
                <w:sz w:val="19"/>
                <w:szCs w:val="19"/>
              </w:rPr>
              <w:t xml:space="preserve">41</w:t>
            </w:r>
          </w:p>
        </w:tc>
      </w:tr>
      <w:tr>
        <w:tc>
          <w:tcPr>
            <w:tcW w:type="dxa" w:w="4200"/>
            <w:tcMar>
              <w:top w:type="dxa" w:w="80"/>
              <w:left w:type="dxa" w:w="110"/>
              <w:bottom w:type="dxa" w:w="80"/>
              <w:right w:type="dxa" w:w="110"/>
            </w:tcMar>
          </w:tcPr>
          <w:p>
            <w:pPr>
              <w:spacing w:after="0" w:line="260"/>
            </w:pPr>
            <w:r>
              <w:rPr>
                <w:b w:val="false"/>
                <w:bCs w:val="false"/>
                <w:sz w:val="19"/>
                <w:szCs w:val="19"/>
              </w:rPr>
              <w:t xml:space="preserve">Rozo</w:t>
            </w:r>
          </w:p>
        </w:tc>
        <w:tc>
          <w:tcPr>
            <w:tcW w:type="dxa" w:w="2800"/>
            <w:tcMar>
              <w:top w:type="dxa" w:w="80"/>
              <w:left w:type="dxa" w:w="110"/>
              <w:bottom w:type="dxa" w:w="80"/>
              <w:right w:type="dxa" w:w="110"/>
            </w:tcMar>
          </w:tcPr>
          <w:p>
            <w:pPr>
              <w:spacing w:after="0" w:line="260"/>
            </w:pPr>
            <w:r>
              <w:rPr>
                <w:b w:val="false"/>
                <w:bCs w:val="false"/>
                <w:sz w:val="19"/>
                <w:szCs w:val="19"/>
              </w:rPr>
              <w:t xml:space="preserve">248,000</w:t>
            </w:r>
          </w:p>
        </w:tc>
        <w:tc>
          <w:tcPr>
            <w:tcW w:type="dxa" w:w="2360"/>
            <w:tcMar>
              <w:top w:type="dxa" w:w="80"/>
              <w:left w:type="dxa" w:w="110"/>
              <w:bottom w:type="dxa" w:w="80"/>
              <w:right w:type="dxa" w:w="110"/>
            </w:tcMar>
          </w:tcPr>
          <w:p>
            <w:pPr>
              <w:spacing w:after="0" w:line="260"/>
            </w:pPr>
            <w:r>
              <w:rPr>
                <w:b w:val="false"/>
                <w:bCs w:val="false"/>
                <w:sz w:val="19"/>
                <w:szCs w:val="19"/>
              </w:rPr>
              <w:t xml:space="preserve">44</w:t>
            </w:r>
          </w:p>
        </w:tc>
      </w:tr>
      <w:tr>
        <w:tc>
          <w:tcPr>
            <w:tcW w:type="dxa" w:w="4200"/>
            <w:tcMar>
              <w:top w:type="dxa" w:w="80"/>
              <w:left w:type="dxa" w:w="110"/>
              <w:bottom w:type="dxa" w:w="80"/>
              <w:right w:type="dxa" w:w="110"/>
            </w:tcMar>
          </w:tcPr>
          <w:p>
            <w:pPr>
              <w:spacing w:after="0" w:line="260"/>
            </w:pPr>
            <w:r>
              <w:rPr>
                <w:b w:val="false"/>
                <w:bCs w:val="false"/>
                <w:sz w:val="19"/>
                <w:szCs w:val="19"/>
              </w:rPr>
              <w:t xml:space="preserve">Ebioro</w:t>
            </w:r>
          </w:p>
        </w:tc>
        <w:tc>
          <w:tcPr>
            <w:tcW w:type="dxa" w:w="2800"/>
            <w:tcMar>
              <w:top w:type="dxa" w:w="80"/>
              <w:left w:type="dxa" w:w="110"/>
              <w:bottom w:type="dxa" w:w="80"/>
              <w:right w:type="dxa" w:w="110"/>
            </w:tcMar>
          </w:tcPr>
          <w:p>
            <w:pPr>
              <w:spacing w:after="0" w:line="260"/>
            </w:pPr>
            <w:r>
              <w:rPr>
                <w:b w:val="false"/>
                <w:bCs w:val="false"/>
                <w:sz w:val="19"/>
                <w:szCs w:val="19"/>
              </w:rPr>
              <w:t xml:space="preserve">236,763</w:t>
            </w:r>
          </w:p>
        </w:tc>
        <w:tc>
          <w:tcPr>
            <w:tcW w:type="dxa" w:w="2360"/>
            <w:tcMar>
              <w:top w:type="dxa" w:w="80"/>
              <w:left w:type="dxa" w:w="110"/>
              <w:bottom w:type="dxa" w:w="80"/>
              <w:right w:type="dxa" w:w="110"/>
            </w:tcMar>
          </w:tcPr>
          <w:p>
            <w:pPr>
              <w:spacing w:after="0" w:line="260"/>
            </w:pPr>
            <w:r>
              <w:rPr>
                <w:b w:val="false"/>
                <w:bCs w:val="false"/>
                <w:sz w:val="19"/>
                <w:szCs w:val="19"/>
              </w:rPr>
              <w:t xml:space="preserve">8</w:t>
            </w:r>
          </w:p>
        </w:tc>
      </w:tr>
    </w:tbl>
    <w:p>
      <w:pPr>
        <w:spacing w:after="140"/>
      </w:pPr>
      <w:r>
        <w:t xml:space="preserve"/>
      </w:r>
    </w:p>
    <w:p>
      <w:pPr>
        <w:spacing w:after="120" w:line="276"/>
      </w:pPr>
      <w:r>
        <w:rPr>
          <w:i/>
          <w:iCs/>
          <w:sz w:val="20"/>
          <w:szCs w:val="20"/>
        </w:rPr>
        <w:t xml:space="preserve">Award figures are in-house reconstructions from official award pages, observed 11 September 2026; SCF does not publish per-award amounts for every round, so cross-source totals can legitimately differ.</w:t>
      </w:r>
    </w:p>
    <w:p>
      <w:pPr>
        <w:pStyle w:val="Heading1"/>
        <w:spacing w:after="140" w:before="280"/>
      </w:pPr>
      <w:r>
        <w:rPr>
          <w:b/>
          <w:bCs/>
          <w:sz w:val="26"/>
          <w:szCs w:val="26"/>
        </w:rPr>
        <w:t xml:space="preserve">8. Recommendation</w:t>
      </w:r>
    </w:p>
    <w:p>
      <w:pPr>
        <w:spacing w:after="120" w:line="276"/>
      </w:pPr>
      <w:r>
        <w:rPr>
          <w:sz w:val="22"/>
          <w:szCs w:val="22"/>
        </w:rPr>
        <w:t xml:space="preserve">Proceed with a phased build, beginning with a facilitator core that settles correctly on testnet before any discovery work begins, and submit to SCF Round 46 before the 8 November 2026 deadline. Sequence the build so that the discovery layer, which the request for proposals treats as the highest-value deliverable and grades on search quality, receives the largest share of both budget and engineering time.</w:t>
      </w:r>
    </w:p>
    <w:p>
      <w:pPr>
        <w:spacing w:after="120" w:line="276"/>
      </w:pPr>
      <w:r>
        <w:rPr>
          <w:sz w:val="22"/>
          <w:szCs w:val="22"/>
        </w:rPr>
        <w:t xml:space="preserve">Two conditions should be verified before submission. First, confirm that no adjacent team has moved into the same scope, specifically the publicly active x402 research work noted in the Risk Register. Second, confirm that the dependency tree of the intended settlement path contains no AGPL-licensed component, since that alone would disqualify the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 - Clara</dc:title>
  <dc:creator>Rafif Muhammad Ransi Anargya</dc:creator>
  <dc:description>Clara: Document 1 of 13</dc:description>
  <cp:lastModifiedBy>Un-named</cp:lastModifiedBy>
  <cp:revision>1</cp:revision>
  <dcterms:created xsi:type="dcterms:W3CDTF">2026-09-21T00:29:08.826Z</dcterms:created>
  <dcterms:modified xsi:type="dcterms:W3CDTF">2026-09-21T00:29:08.838Z</dcterms:modified>
</cp:coreProperties>
</file>

<file path=docProps/custom.xml><?xml version="1.0" encoding="utf-8"?>
<Properties xmlns="http://schemas.openxmlformats.org/officeDocument/2006/custom-properties" xmlns:vt="http://schemas.openxmlformats.org/officeDocument/2006/docPropsVTypes"/>
</file>